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EXHIBITS DOCUMENT</w:t>
      </w:r>
    </w:p>
    <w:p>
      <w:pPr>
        <w:pStyle w:val="Normal"/>
        <w:jc w:val="end"/>
        <w:rPr>
          <w:b/>
          <w:bCs/>
          <w:sz w:val="22"/>
          <w:szCs w:val="22"/>
          <w:u w:val="single"/>
        </w:rPr>
      </w:pPr>
      <w:r>
        <w:rPr>
          <w:b/>
          <w:bCs/>
          <w:sz w:val="22"/>
          <w:szCs w:val="22"/>
          <w:u w:val="single"/>
        </w:rPr>
        <w:t>DRAFT OF 02/01/2001</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color w:val="FF0000"/>
          <w:sz w:val="22"/>
          <w:szCs w:val="22"/>
        </w:rPr>
        <w:t>[</w:t>
      </w:r>
      <w:r>
        <w:rPr>
          <w:sz w:val="22"/>
          <w:szCs w:val="22"/>
        </w:rPr>
        <w:t xml:space="preserve">(C) </w:t>
      </w:r>
      <w:r>
        <w:rPr>
          <w:b/>
          <w:bCs/>
          <w:sz w:val="22"/>
          <w:szCs w:val="22"/>
        </w:rPr>
        <w:t>“Credit Support Amount”</w:t>
      </w:r>
      <w:r>
        <w:rPr>
          <w:sz w:val="22"/>
          <w:szCs w:val="22"/>
        </w:rPr>
        <w:t xml:space="preserve"> has the meaning specified in Paragraph 3.</w:t>
      </w:r>
      <w:r>
        <w:rPr>
          <w:rStyle w:val="FootnoteCharacters"/>
          <w:rStyle w:val="FootnoteReference"/>
          <w:color w:val="FF0000"/>
          <w:sz w:val="22"/>
          <w:szCs w:val="22"/>
        </w:rPr>
        <w:footnoteReference w:id="5"/>
      </w:r>
      <w:r>
        <w:rPr>
          <w:color w:val="FF0000"/>
          <w:sz w:val="22"/>
          <w:szCs w:val="22"/>
        </w:rPr>
        <w:t>]</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rStyle w:val="FootnoteCharacters"/>
          <w:rStyle w:val="FootnoteReference"/>
          <w:color w:val="993300"/>
        </w:rPr>
        <w:footnoteReference w:id="6"/>
      </w:r>
      <w:r>
        <w:rPr>
          <w:color w:val="993300"/>
          <w:sz w:val="22"/>
          <w:szCs w:val="22"/>
        </w:rPr>
        <w:t>[</w:t>
      </w: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100% </w:t>
            </w:r>
            <w:r>
              <w:rPr>
                <w:color w:val="FF0000"/>
                <w:sz w:val="22"/>
                <w:szCs w:val="22"/>
              </w:rPr>
              <w:t>[</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r>
              <w:rPr>
                <w:color w:val="FF0000"/>
                <w:sz w:val="22"/>
                <w:szCs w:val="22"/>
              </w:rPr>
              <w:t>]</w:t>
            </w:r>
            <w:r>
              <w:rPr>
                <w:rStyle w:val="FootnoteCharacters"/>
                <w:rStyle w:val="FootnoteReference"/>
                <w:color w:val="FF0000"/>
                <w:sz w:val="22"/>
                <w:szCs w:val="22"/>
              </w:rPr>
              <w:footnoteReference w:id="7"/>
            </w:r>
            <w:r>
              <w:rPr>
                <w:color w:val="993300"/>
                <w:sz w:val="22"/>
                <w:szCs w:val="22"/>
              </w:rPr>
              <w:t>]</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autoSpaceDE w:val="false"/>
        <w:spacing w:lineRule="atLeast" w:line="240"/>
        <w:ind w:start="720" w:end="0"/>
        <w:rPr/>
      </w:pPr>
      <w:r>
        <w:rPr>
          <w:rStyle w:val="FootnoteCharacters"/>
          <w:rStyle w:val="FootnoteReference"/>
          <w:color w:val="993300"/>
        </w:rPr>
        <w:footnoteReference w:id="8"/>
      </w:r>
      <w:r>
        <w:rPr>
          <w:color w:val="993300"/>
          <w:sz w:val="22"/>
          <w:szCs w:val="24"/>
        </w:rPr>
        <w:t xml:space="preserve">[(A)  </w:t>
      </w:r>
      <w:r>
        <w:rPr>
          <w:b/>
          <w:bCs/>
          <w:color w:val="993300"/>
          <w:sz w:val="22"/>
          <w:szCs w:val="22"/>
        </w:rPr>
        <w:t>“</w:t>
      </w:r>
      <w:r>
        <w:rPr>
          <w:b/>
          <w:bCs/>
          <w:color w:val="993300"/>
          <w:sz w:val="22"/>
          <w:szCs w:val="24"/>
        </w:rPr>
        <w:t>Independent Amount</w:t>
      </w:r>
      <w:r>
        <w:rPr>
          <w:b/>
          <w:bCs/>
          <w:color w:val="993300"/>
          <w:sz w:val="22"/>
          <w:szCs w:val="22"/>
        </w:rPr>
        <w:t>”</w:t>
      </w:r>
      <w:r>
        <w:rPr>
          <w:color w:val="993300"/>
          <w:sz w:val="22"/>
          <w:szCs w:val="24"/>
        </w:rPr>
        <w:t xml:space="preserve">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p>
    <w:p>
      <w:pPr>
        <w:pStyle w:val="Normal"/>
        <w:ind w:start="720" w:end="0"/>
        <w:jc w:val="both"/>
        <w:rPr>
          <w:color w:val="993300"/>
          <w:sz w:val="22"/>
          <w:szCs w:val="22"/>
        </w:rPr>
      </w:pPr>
      <w:r>
        <w:rPr>
          <w:color w:val="993300"/>
          <w:sz w:val="22"/>
          <w:szCs w:val="22"/>
        </w:rPr>
      </w:r>
    </w:p>
    <w:p>
      <w:pPr>
        <w:pStyle w:val="Normal"/>
        <w:ind w:start="720" w:end="0"/>
        <w:jc w:val="both"/>
        <w:rPr>
          <w:color w:val="000000"/>
          <w:sz w:val="22"/>
          <w:szCs w:val="22"/>
        </w:rPr>
      </w:pPr>
      <w:r>
        <w:rPr>
          <w:color w:val="000000"/>
          <w:sz w:val="22"/>
          <w:szCs w:val="22"/>
        </w:rPr>
        <w:t xml:space="preserve"> </w:t>
      </w:r>
      <w:r>
        <w:rPr>
          <w:color w:val="000000"/>
          <w:sz w:val="22"/>
          <w:szCs w:val="22"/>
        </w:rPr>
        <w:t xml:space="preserve">(B)  </w:t>
      </w:r>
      <w:r>
        <w:rPr>
          <w:color w:val="FF0000"/>
          <w:sz w:val="22"/>
          <w:szCs w:val="22"/>
        </w:rPr>
        <w:t>[</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color w:val="FF0000"/>
          <w:sz w:val="22"/>
          <w:szCs w:val="22"/>
        </w:rPr>
        <w:t>]</w:t>
      </w:r>
    </w:p>
    <w:p>
      <w:pPr>
        <w:pStyle w:val="Normal"/>
        <w:ind w:start="720" w:end="0"/>
        <w:jc w:val="both"/>
        <w:rPr>
          <w:color w:val="000000"/>
          <w:sz w:val="22"/>
          <w:szCs w:val="22"/>
        </w:rPr>
      </w:pPr>
      <w:r>
        <w:rPr>
          <w:color w:val="000000"/>
          <w:sz w:val="22"/>
          <w:szCs w:val="22"/>
        </w:rPr>
      </w:r>
    </w:p>
    <w:p>
      <w:pPr>
        <w:pStyle w:val="Normal"/>
        <w:ind w:start="720" w:end="0"/>
        <w:jc w:val="both"/>
        <w:rPr/>
      </w:pPr>
      <w:r>
        <w:rPr>
          <w:color w:val="FF0000"/>
          <w:sz w:val="22"/>
          <w:szCs w:val="22"/>
        </w:rPr>
        <w:t>[</w:t>
      </w:r>
      <w:r>
        <w:rPr>
          <w:b/>
          <w:bCs/>
          <w:color w:val="000000"/>
          <w:sz w:val="22"/>
          <w:szCs w:val="22"/>
        </w:rPr>
        <w:t>“Threshold”</w:t>
      </w:r>
      <w:r>
        <w:rPr>
          <w:color w:val="000000"/>
          <w:sz w:val="22"/>
          <w:szCs w:val="22"/>
        </w:rPr>
        <w:t xml:space="preserve"> means, with respect to a party (a) the amount set forth opposite the lowest Credit Rating for the party (or </w:t>
      </w:r>
      <w:r>
        <w:rPr>
          <w:color w:val="FF0000"/>
          <w:sz w:val="22"/>
          <w:szCs w:val="22"/>
        </w:rPr>
        <w:t>[</w:t>
      </w:r>
      <w:r>
        <w:rPr>
          <w:color w:val="000000"/>
          <w:sz w:val="22"/>
          <w:szCs w:val="22"/>
        </w:rPr>
        <w:t>in the case of Party B, ____________ and</w:t>
      </w:r>
      <w:r>
        <w:rPr>
          <w:color w:val="FF0000"/>
          <w:sz w:val="22"/>
          <w:szCs w:val="22"/>
        </w:rPr>
        <w:t>]</w:t>
      </w:r>
      <w:r>
        <w:rPr>
          <w:color w:val="000000"/>
          <w:sz w:val="22"/>
          <w:szCs w:val="22"/>
        </w:rPr>
        <w:t xml:space="preserve"> in the case of Party A, Enron Corp.)</w:t>
      </w:r>
      <w:r>
        <w:rPr>
          <w:rStyle w:val="FootnoteCharacters"/>
          <w:rStyle w:val="FootnoteReference"/>
          <w:color w:val="FF0000"/>
          <w:sz w:val="22"/>
          <w:szCs w:val="22"/>
        </w:rPr>
        <w:footnoteReference w:id="9"/>
      </w:r>
      <w:r>
        <w:rPr>
          <w:color w:val="000000"/>
          <w:sz w:val="22"/>
          <w:szCs w:val="22"/>
        </w:rPr>
        <w:t xml:space="preserve"> on the relevant date of determination; or (b) zero if on the relevant date of determination (i) the entity referred to in clause (a) above does not have a Credit Rating from </w:t>
      </w:r>
      <w:r>
        <w:rPr>
          <w:color w:val="FF0000"/>
          <w:sz w:val="22"/>
          <w:szCs w:val="22"/>
        </w:rPr>
        <w:t>[</w:t>
      </w:r>
      <w:r>
        <w:rPr>
          <w:color w:val="000000"/>
          <w:sz w:val="22"/>
          <w:szCs w:val="22"/>
        </w:rPr>
        <w:t>either S&amp;P or Moody's</w:t>
      </w:r>
      <w:r>
        <w:rPr>
          <w:rStyle w:val="FootnoteCharacters"/>
          <w:rStyle w:val="FootnoteReference"/>
          <w:color w:val="FF0000"/>
          <w:sz w:val="22"/>
          <w:szCs w:val="22"/>
        </w:rPr>
        <w:footnoteReference w:id="10"/>
      </w:r>
      <w:r>
        <w:rPr>
          <w:color w:val="FF0000"/>
          <w:sz w:val="22"/>
          <w:szCs w:val="22"/>
        </w:rPr>
        <w:t>][</w:t>
      </w:r>
      <w:r>
        <w:rPr>
          <w:sz w:val="22"/>
          <w:szCs w:val="22"/>
        </w:rPr>
        <w:t>both S&amp;P and Moody’s</w:t>
      </w:r>
      <w:r>
        <w:rPr>
          <w:color w:val="FF0000"/>
          <w:sz w:val="22"/>
          <w:szCs w:val="22"/>
        </w:rPr>
        <w:t>]</w:t>
      </w:r>
      <w:r>
        <w:rPr>
          <w:color w:val="000000"/>
          <w:sz w:val="22"/>
          <w:szCs w:val="22"/>
        </w:rPr>
        <w:t>, or (ii) an Event of Default or Potential Event of Default with respect to such party has occurred and is continuing:</w:t>
      </w:r>
      <w:r>
        <w:rPr>
          <w:rStyle w:val="FootnoteCharacters"/>
          <w:rStyle w:val="FootnoteReference"/>
          <w:color w:val="000000"/>
        </w:rPr>
        <w:footnoteReference w:id="11"/>
      </w:r>
      <w:r>
        <w:rPr>
          <w:color w:val="FF0000"/>
          <w:sz w:val="22"/>
          <w:szCs w:val="22"/>
        </w:rPr>
        <w:t>[, or (iii) with respect to Party B, a Material Adverse Change has occurred and is continuing:]</w:t>
      </w:r>
    </w:p>
    <w:p>
      <w:pPr>
        <w:pStyle w:val="Normal"/>
        <w:ind w:start="1080" w:end="0"/>
        <w:jc w:val="both"/>
        <w:rPr>
          <w:color w:val="FF0000"/>
          <w:sz w:val="22"/>
          <w:szCs w:val="22"/>
        </w:rPr>
      </w:pPr>
      <w:r>
        <w:rPr>
          <w:color w:val="FF0000"/>
          <w:sz w:val="22"/>
          <w:szCs w:val="22"/>
        </w:rPr>
      </w:r>
    </w:p>
    <w:p>
      <w:pPr>
        <w:pStyle w:val="Normal"/>
        <w:ind w:hanging="720" w:start="2160" w:end="0"/>
        <w:jc w:val="both"/>
        <w:rPr>
          <w:color w:val="FF0000"/>
          <w:sz w:val="22"/>
          <w:szCs w:val="22"/>
        </w:rPr>
      </w:pPr>
      <w:r>
        <w:rPr>
          <w:color w:val="FF0000"/>
          <w:sz w:val="22"/>
          <w:szCs w:val="22"/>
        </w:rPr>
      </w:r>
    </w:p>
    <w:p>
      <w:pPr>
        <w:pStyle w:val="Normal"/>
        <w:ind w:hanging="720" w:start="2160" w:end="0"/>
        <w:jc w:val="both"/>
        <w:rPr>
          <w:sz w:val="22"/>
          <w:szCs w:val="22"/>
        </w:rPr>
      </w:pPr>
      <w:r>
        <w:rPr>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rPr/>
            </w:pPr>
            <w:r>
              <w:rPr/>
              <w:t>S&amp;P CREDIT RATING</w:t>
            </w:r>
          </w:p>
          <w:p>
            <w:pPr>
              <w:pStyle w:val="Normal"/>
              <w:ind w:start="-18" w:end="0"/>
              <w:rPr>
                <w:sz w:val="22"/>
                <w:szCs w:val="22"/>
              </w:rPr>
            </w:pPr>
            <w:r>
              <w:rPr>
                <w:sz w:val="22"/>
                <w:szCs w:val="22"/>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AA (or above)</w:t>
            </w:r>
          </w:p>
        </w:tc>
        <w:tc>
          <w:tcPr>
            <w:tcW w:w="2479" w:type="dxa"/>
            <w:tcBorders/>
          </w:tcPr>
          <w:p>
            <w:pPr>
              <w:pStyle w:val="Normal"/>
              <w:rPr>
                <w:sz w:val="22"/>
                <w:szCs w:val="22"/>
              </w:rPr>
            </w:pPr>
            <w:r>
              <w:rPr>
                <w:sz w:val="22"/>
                <w:szCs w:val="22"/>
              </w:rPr>
              <w:t>Aa2 (or above)</w:t>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AA- to A-</w:t>
            </w:r>
          </w:p>
        </w:tc>
        <w:tc>
          <w:tcPr>
            <w:tcW w:w="2479" w:type="dxa"/>
            <w:tcBorders/>
          </w:tcPr>
          <w:p>
            <w:pPr>
              <w:pStyle w:val="Normal"/>
              <w:rPr>
                <w:sz w:val="22"/>
                <w:szCs w:val="22"/>
              </w:rPr>
            </w:pPr>
            <w:r>
              <w:rPr>
                <w:sz w:val="22"/>
                <w:szCs w:val="22"/>
              </w:rPr>
              <w:t>Aa3 to A3</w:t>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BBB+ and BBB</w:t>
            </w:r>
          </w:p>
        </w:tc>
        <w:tc>
          <w:tcPr>
            <w:tcW w:w="2479" w:type="dxa"/>
            <w:tcBorders/>
          </w:tcPr>
          <w:p>
            <w:pPr>
              <w:pStyle w:val="Normal"/>
              <w:rPr>
                <w:sz w:val="22"/>
                <w:szCs w:val="22"/>
              </w:rPr>
            </w:pPr>
            <w:r>
              <w:rPr>
                <w:sz w:val="22"/>
                <w:szCs w:val="22"/>
              </w:rPr>
              <w:t>Baa1 and Baa2</w:t>
            </w:r>
          </w:p>
        </w:tc>
      </w:tr>
      <w:tr>
        <w:trPr/>
        <w:tc>
          <w:tcPr>
            <w:tcW w:w="2520" w:type="dxa"/>
            <w:tcBorders/>
          </w:tcPr>
          <w:p>
            <w:pPr>
              <w:pStyle w:val="Normal"/>
              <w:rPr>
                <w:sz w:val="22"/>
                <w:szCs w:val="22"/>
              </w:rPr>
            </w:pPr>
            <w:r>
              <w:rPr>
                <w:sz w:val="22"/>
                <w:szCs w:val="22"/>
              </w:rPr>
              <w:t>U.S. $ _____________</w:t>
            </w:r>
          </w:p>
        </w:tc>
        <w:tc>
          <w:tcPr>
            <w:tcW w:w="2381" w:type="dxa"/>
            <w:tcBorders/>
          </w:tcPr>
          <w:p>
            <w:pPr>
              <w:pStyle w:val="Normal"/>
              <w:ind w:start="-18" w:end="0"/>
              <w:rPr>
                <w:sz w:val="22"/>
                <w:szCs w:val="22"/>
              </w:rPr>
            </w:pPr>
            <w:r>
              <w:rPr>
                <w:sz w:val="22"/>
                <w:szCs w:val="22"/>
              </w:rPr>
              <w:t>BBB-</w:t>
            </w:r>
          </w:p>
        </w:tc>
        <w:tc>
          <w:tcPr>
            <w:tcW w:w="2479" w:type="dxa"/>
            <w:tcBorders/>
          </w:tcPr>
          <w:p>
            <w:pPr>
              <w:pStyle w:val="Normal"/>
              <w:rPr>
                <w:sz w:val="22"/>
                <w:szCs w:val="22"/>
              </w:rPr>
            </w:pPr>
            <w:r>
              <w:rPr>
                <w:sz w:val="22"/>
                <w:szCs w:val="22"/>
              </w:rPr>
              <w:t>Baa3</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r>
              <w:rPr>
                <w:color w:val="FF0000"/>
                <w:sz w:val="22"/>
                <w:szCs w:val="22"/>
              </w:rPr>
              <w:t>]</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r>
              <w:rPr>
                <w:rStyle w:val="FootnoteCharacters"/>
                <w:rStyle w:val="FootnoteReference"/>
                <w:color w:val="FF0000"/>
                <w:sz w:val="22"/>
                <w:szCs w:val="22"/>
              </w:rPr>
              <w:footnoteReference w:id="12"/>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pPr>
      <w:r>
        <w:rPr>
          <w:color w:val="FF0000"/>
          <w:sz w:val="22"/>
          <w:szCs w:val="22"/>
        </w:rPr>
        <w:t>[</w:t>
      </w: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color w:val="FF0000"/>
          <w:sz w:val="22"/>
          <w:szCs w:val="22"/>
        </w:rPr>
        <w:t>]</w:t>
      </w:r>
      <w:r>
        <w:rPr>
          <w:rStyle w:val="FootnoteCharacters"/>
          <w:rStyle w:val="FootnoteReference"/>
          <w:color w:val="FF0000"/>
          <w:sz w:val="22"/>
          <w:szCs w:val="22"/>
        </w:rPr>
        <w:footnoteReference w:id="13"/>
      </w:r>
      <w:r>
        <w:rPr>
          <w:color w:val="FF0000"/>
          <w:sz w:val="22"/>
          <w:szCs w:val="22"/>
        </w:rPr>
        <w:t xml:space="preserve"> </w:t>
      </w:r>
      <w:r>
        <w:rPr>
          <w:rStyle w:val="FootnoteCharacters"/>
          <w:rStyle w:val="FootnoteReference"/>
          <w:color w:val="FF0000"/>
          <w:sz w:val="22"/>
        </w:rPr>
        <w:footnoteReference w:id="14"/>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pPr>
      <w:r>
        <w:rPr>
          <w:sz w:val="22"/>
          <w:szCs w:val="22"/>
        </w:rPr>
        <w:t xml:space="preserve">(1) Party A is not a Defaulting Party and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has a Credit Rating from S&amp;P and the lowest Credit Rating for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is “BBB-” or higher by S&amp;P</w:t>
      </w:r>
      <w:r>
        <w:rPr>
          <w:color w:val="FF0000"/>
          <w:sz w:val="22"/>
          <w:szCs w:val="22"/>
        </w:rPr>
        <w:t>[</w:t>
      </w:r>
      <w:r>
        <w:rPr>
          <w:sz w:val="22"/>
          <w:szCs w:val="22"/>
        </w:rPr>
        <w:t xml:space="preserve"> or “Baa3” or higher by Moody’s</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rPr/>
      </w:pPr>
      <w:r>
        <w:rPr/>
      </w:r>
    </w:p>
    <w:p>
      <w:pPr>
        <w:pStyle w:val="BodyTextIndent"/>
        <w:widowControl/>
        <w:spacing w:lineRule="auto" w:line="240"/>
        <w:rPr>
          <w:b/>
          <w:bCs/>
          <w:color w:val="FF0000"/>
        </w:rPr>
      </w:pPr>
      <w:r>
        <w:rPr>
          <w:b/>
          <w:bCs/>
          <w:color w:val="FF0000"/>
        </w:rPr>
        <w:t>[INSERT THE FOLLOWING WHEN PARTY B IS PERMITTED TO HOLD COLLATERAL]</w:t>
      </w:r>
    </w:p>
    <w:p>
      <w:pPr>
        <w:pStyle w:val="Normal"/>
        <w:ind w:hanging="720" w:start="216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rStyle w:val="FootnoteCharacters"/>
          <w:rStyle w:val="FootnoteReference"/>
          <w:color w:val="FF0000"/>
          <w:sz w:val="22"/>
          <w:szCs w:val="22"/>
        </w:rPr>
        <w:footnoteReference w:id="15"/>
      </w:r>
      <w:r>
        <w:rPr>
          <w:sz w:val="22"/>
          <w:szCs w:val="22"/>
        </w:rPr>
        <w:t xml:space="preserve"> </w:t>
      </w:r>
      <w:r>
        <w:rPr>
          <w:color w:val="0000FF"/>
          <w:sz w:val="22"/>
          <w:szCs w:val="22"/>
        </w:rPr>
        <w:t>[Party B’s Custodian]</w:t>
      </w:r>
      <w:r>
        <w:rPr>
          <w:rStyle w:val="FootnoteCharacters"/>
          <w:rStyle w:val="FootnoteReference"/>
          <w:color w:val="FF0000"/>
          <w:sz w:val="22"/>
          <w:szCs w:val="22"/>
        </w:rPr>
        <w:footnoteReference w:id="16"/>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 xml:space="preserve">(1) Party B is not a Defaulting Party and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has a Credit Rating</w:t>
      </w:r>
      <w:r>
        <w:rPr>
          <w:color w:val="000000"/>
          <w:sz w:val="22"/>
          <w:szCs w:val="22"/>
        </w:rPr>
        <w:t xml:space="preserve"> from S&amp;P</w:t>
      </w:r>
      <w:r>
        <w:rPr>
          <w:sz w:val="22"/>
          <w:szCs w:val="22"/>
        </w:rPr>
        <w:t xml:space="preserve"> and the lowest Credit Rating for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is “</w:t>
      </w:r>
      <w:r>
        <w:rPr>
          <w:color w:val="000000"/>
          <w:sz w:val="22"/>
          <w:szCs w:val="22"/>
        </w:rPr>
        <w:t>___</w:t>
      </w:r>
      <w:r>
        <w:rPr>
          <w:sz w:val="22"/>
          <w:szCs w:val="22"/>
        </w:rPr>
        <w:t>” or higher by S&amp;P</w:t>
      </w:r>
      <w:r>
        <w:rPr>
          <w:color w:val="FF0000"/>
          <w:sz w:val="22"/>
          <w:szCs w:val="22"/>
        </w:rPr>
        <w:t>[</w:t>
      </w:r>
      <w:r>
        <w:rPr>
          <w:sz w:val="22"/>
          <w:szCs w:val="22"/>
        </w:rPr>
        <w:t xml:space="preserve"> or “_____” or higher by Moody’s</w:t>
      </w:r>
      <w:r>
        <w:rPr>
          <w:color w:val="FF0000"/>
          <w:sz w:val="22"/>
          <w:szCs w:val="22"/>
        </w:rPr>
        <w:t>]</w:t>
      </w:r>
      <w:r>
        <w:rPr>
          <w:sz w:val="22"/>
          <w:szCs w:val="22"/>
        </w:rPr>
        <w:t xml:space="preserve"> </w:t>
      </w:r>
      <w:r>
        <w:rPr>
          <w:color w:val="FF0000"/>
          <w:sz w:val="22"/>
          <w:szCs w:val="22"/>
        </w:rPr>
        <w:t>[</w:t>
      </w:r>
      <w:r>
        <w:rPr>
          <w:sz w:val="22"/>
          <w:szCs w:val="22"/>
        </w:rPr>
        <w:t>a Material Adverse Change has not occurred with respect to Party B</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sz w:val="22"/>
          <w:szCs w:val="22"/>
        </w:rPr>
        <w:t>]</w:t>
      </w:r>
    </w:p>
    <w:p>
      <w:pPr>
        <w:pStyle w:val="Normal"/>
        <w:ind w:start="1080" w:end="0"/>
        <w:jc w:val="both"/>
        <w:rPr>
          <w:sz w:val="22"/>
          <w:szCs w:val="22"/>
        </w:rPr>
      </w:pPr>
      <w:r>
        <w:rPr>
          <w:sz w:val="22"/>
          <w:szCs w:val="22"/>
        </w:rPr>
        <w:t xml:space="preserve"> </w:t>
      </w:r>
    </w:p>
    <w:p>
      <w:pPr>
        <w:pStyle w:val="BodyTextIndent"/>
        <w:widowControl/>
        <w:spacing w:lineRule="auto" w:line="240"/>
        <w:rPr/>
      </w:pPr>
      <w:r>
        <w:rPr>
          <w:b/>
          <w:bCs/>
          <w:color w:val="FF0000"/>
        </w:rPr>
        <w:t xml:space="preserve"> </w:t>
      </w:r>
      <w:r>
        <w:rPr>
          <w:b/>
          <w:bCs/>
          <w:color w:val="FF0000"/>
        </w:rPr>
        <w:t xml:space="preserve">[INSERT THE FOLLOWING WHEN PARTY B IS </w:t>
      </w:r>
      <w:r>
        <w:rPr>
          <w:b/>
          <w:bCs/>
          <w:color w:val="FF0000"/>
          <w:u w:val="single"/>
        </w:rPr>
        <w:t>NOT</w:t>
      </w:r>
      <w:r>
        <w:rPr>
          <w:b/>
          <w:bCs/>
          <w:color w:val="FF0000"/>
        </w:rPr>
        <w:t xml:space="preserve"> PERMITTED TO HOLD COLLATERAL]</w:t>
      </w:r>
    </w:p>
    <w:p>
      <w:pPr>
        <w:pStyle w:val="Normal"/>
        <w:ind w:hanging="720" w:start="720" w:end="0"/>
        <w:jc w:val="both"/>
        <w:rPr>
          <w:b/>
          <w:bCs/>
          <w:color w:val="FF0000"/>
          <w:sz w:val="22"/>
          <w:szCs w:val="22"/>
        </w:rPr>
      </w:pPr>
      <w:r>
        <w:rPr>
          <w:b/>
          <w:bCs/>
          <w:color w:val="FF0000"/>
          <w:sz w:val="22"/>
          <w:szCs w:val="22"/>
        </w:rPr>
      </w:r>
    </w:p>
    <w:p>
      <w:pPr>
        <w:pStyle w:val="Normal"/>
        <w:ind w:start="720" w:end="0"/>
        <w:jc w:val="both"/>
        <w:rPr/>
      </w:pPr>
      <w:r>
        <w:rPr>
          <w:color w:val="FF0000"/>
          <w:sz w:val="22"/>
          <w:szCs w:val="22"/>
        </w:rPr>
        <w:t>[</w:t>
      </w:r>
      <w:r>
        <w:rPr>
          <w:sz w:val="22"/>
          <w:szCs w:val="22"/>
        </w:rPr>
        <w:t>If Party A or its Custodian is not eligible to hold Posted Collateral pursuant to this Section, then it shall be considered a “Downgraded Party”or a “Downgraded Custodian”, as the case may be (as defined in Paragraph 13(g)(ii)) and Posted Collateral shall be maintained in accordance with Paragraph 13(g)(ii)(a).</w:t>
      </w:r>
    </w:p>
    <w:p>
      <w:pPr>
        <w:pStyle w:val="Normal"/>
        <w:ind w:hanging="720" w:start="2160" w:end="0"/>
        <w:jc w:val="both"/>
        <w:rPr>
          <w:sz w:val="22"/>
          <w:szCs w:val="22"/>
        </w:rPr>
      </w:pPr>
      <w:r>
        <w:rPr>
          <w:sz w:val="22"/>
          <w:szCs w:val="22"/>
        </w:rPr>
      </w:r>
    </w:p>
    <w:p>
      <w:pPr>
        <w:pStyle w:val="BodyTextIndent3"/>
        <w:rPr/>
      </w:pPr>
      <w:r>
        <w:rPr/>
        <w:t>With respect to Party B, Posted Collateral shall be maintained in accordance with Paragraph13(g)(ii)(b) and the provisions of Paragraphs 6(b)(i), 6(b)(ii) and 6(c) shall be inapplicable with respect to Party B as the Secured Party.</w:t>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(a) The provisions of Paragraph 6(c) will apply to Party A only; </w:t>
      </w:r>
      <w:r>
        <w:rPr>
          <w:sz w:val="22"/>
          <w:szCs w:val="22"/>
          <w:u w:val="single"/>
        </w:rPr>
        <w:t>provided</w:t>
      </w:r>
      <w:r>
        <w:rPr>
          <w:sz w:val="22"/>
          <w:szCs w:val="22"/>
        </w:rPr>
        <w:t xml:space="preserve">, </w:t>
      </w:r>
      <w:r>
        <w:rPr>
          <w:sz w:val="22"/>
          <w:szCs w:val="22"/>
          <w:u w:val="single"/>
        </w:rPr>
        <w:t>however</w:t>
      </w:r>
      <w:r>
        <w:rPr>
          <w:sz w:val="22"/>
          <w:szCs w:val="22"/>
        </w:rPr>
        <w:t xml:space="preserve">, that if Party A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Party A, Party A</w:t>
      </w:r>
      <w:r>
        <w:rPr>
          <w:color w:val="FF0000"/>
          <w:sz w:val="22"/>
          <w:szCs w:val="22"/>
        </w:rPr>
        <w:t xml:space="preserve"> </w:t>
      </w:r>
      <w:r>
        <w:rPr>
          <w:sz w:val="22"/>
          <w:szCs w:val="22"/>
        </w:rPr>
        <w:t>shall be the “Downgraded Party”; and if such Credit Rating Event occurs with respect to Party A’s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Party A’s Custodian that is holding Posted Collateral on behalf of Party A, then such Downgraded Custodian may also deliver such Posted Collateral to</w:t>
      </w:r>
      <w:r>
        <w:rPr>
          <w:color w:val="FF0000"/>
          <w:sz w:val="22"/>
          <w:szCs w:val="22"/>
        </w:rPr>
        <w:t xml:space="preserve"> </w:t>
      </w:r>
      <w:r>
        <w:rPr>
          <w:sz w:val="22"/>
          <w:szCs w:val="22"/>
        </w:rPr>
        <w:t>Party A.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t xml:space="preserve"> </w:t>
      </w:r>
    </w:p>
    <w:p>
      <w:pPr>
        <w:pStyle w:val="Normal"/>
        <w:ind w:start="720" w:end="0"/>
        <w:jc w:val="both"/>
        <w:rPr/>
      </w:pPr>
      <w:r>
        <w:rPr>
          <w:sz w:val="22"/>
        </w:rPr>
        <w:t xml:space="preserve">(b)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w:t>
      </w:r>
      <w:r>
        <w:rPr>
          <w:sz w:val="22"/>
          <w:szCs w:val="22"/>
        </w:rPr>
        <w:t>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rStyle w:val="FootnoteCharacters"/>
          <w:rStyle w:val="FootnoteReference"/>
          <w:color w:val="993300"/>
        </w:rPr>
        <w:footnoteReference w:id="17"/>
      </w:r>
      <w:r>
        <w:rPr>
          <w:color w:val="993300"/>
          <w:sz w:val="22"/>
          <w:szCs w:val="22"/>
        </w:rPr>
        <w:t>[</w:t>
      </w: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color w:val="FF0000"/>
          <w:sz w:val="22"/>
          <w:szCs w:val="22"/>
        </w:rPr>
        <w:t>[</w:t>
      </w: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color w:val="FF0000"/>
          <w:sz w:val="22"/>
          <w:szCs w:val="22"/>
        </w:rPr>
        <w:footnoteReference w:id="18"/>
      </w:r>
      <w:r>
        <w:rPr>
          <w:color w:val="FF0000"/>
          <w:sz w:val="22"/>
          <w:szCs w:val="22"/>
        </w:rPr>
        <w: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rStyle w:val="FootnoteCharacters"/>
          <w:rStyle w:val="FootnoteReference"/>
          <w:color w:val="FF0000"/>
          <w:sz w:val="22"/>
          <w:szCs w:val="22"/>
        </w:rPr>
        <w:footnoteReference w:id="19"/>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sz w:val="22"/>
          <w:szCs w:val="22"/>
        </w:rPr>
      </w:pPr>
      <w:r>
        <w:rPr>
          <w:rStyle w:val="FootnoteCharacters"/>
          <w:rStyle w:val="FootnoteReference"/>
          <w:b/>
          <w:bCs/>
          <w:color w:val="993300"/>
        </w:rPr>
        <w:footnoteReference w:id="20"/>
      </w:r>
      <w:r>
        <w:rPr>
          <w:b/>
          <w:bCs/>
          <w:color w:val="993300"/>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r>
        <w:rPr>
          <w:b/>
          <w:bCs/>
          <w:color w:val="993300"/>
          <w:sz w:val="22"/>
          <w:szCs w:val="22"/>
        </w:rPr>
        <w: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r>
        <w:rPr>
          <w:rStyle w:val="FootnoteCharacters"/>
          <w:rStyle w:val="FootnoteReference"/>
          <w:color w:val="FF0000"/>
          <w:sz w:val="22"/>
          <w:szCs w:val="22"/>
        </w:rPr>
        <w:footnoteReference w:id="21"/>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pStyle w:val="Normal"/>
        <w:keepNext w:val="true"/>
        <w:ind w:start="720" w:end="0"/>
        <w:jc w:val="both"/>
        <w:rPr/>
      </w:pPr>
      <w:r>
        <w:rPr>
          <w:color w:val="FF0000"/>
          <w:sz w:val="22"/>
          <w:szCs w:val="22"/>
        </w:rPr>
        <w:t>[</w:t>
      </w:r>
      <w:r>
        <w:rPr>
          <w:sz w:val="22"/>
          <w:szCs w:val="22"/>
        </w:rPr>
        <w:t>(iv)  Paragraph 3(b) is hereby amended by adding the following after the phrase “(rounded pursuant to Paragraph 13)” in the fifth line thereof:</w:t>
      </w:r>
    </w:p>
    <w:p>
      <w:pPr>
        <w:pStyle w:val="Normal"/>
        <w:keepNext w:val="true"/>
        <w:ind w:start="720" w:end="0"/>
        <w:jc w:val="both"/>
        <w:rPr>
          <w:sz w:val="22"/>
          <w:szCs w:val="22"/>
        </w:rPr>
      </w:pPr>
      <w:r>
        <w:rPr>
          <w:sz w:val="22"/>
          <w:szCs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the Secured Party will, upon the Pledgor’s request, Transfer to the Pledgor all Posted Credit Support if the amount of such Posted Credit Support is material and if the Pledgor’s Credit Support Amount is zero.”</w:t>
      </w:r>
      <w:r>
        <w:rPr>
          <w:rStyle w:val="FootnoteCharacters"/>
          <w:sz w:val="22"/>
          <w:szCs w:val="22"/>
        </w:rPr>
        <w:t xml:space="preserve"> </w:t>
      </w:r>
      <w:r>
        <w:rPr>
          <w:rStyle w:val="FootnoteCharacters"/>
          <w:rStyle w:val="FootnoteReference"/>
          <w:color w:val="FF0000"/>
          <w:sz w:val="22"/>
          <w:szCs w:val="22"/>
        </w:rPr>
        <w:footnoteReference w:id="22"/>
      </w:r>
      <w:r>
        <w:rPr>
          <w:color w:val="FF0000"/>
          <w:sz w:val="22"/>
          <w:szCs w:val="22"/>
        </w:rPr>
        <w:t>]</w:t>
      </w:r>
    </w:p>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olor w:val="FF0000"/>
          <w:sz w:val="22"/>
          <w:szCs w:val="22"/>
          <w:u w:val="single"/>
        </w:rPr>
      </w:pPr>
      <w:r>
        <w:rPr>
          <w:color w:val="FF000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ENA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ENA’S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color w:val="FF0000"/>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r>
        <w:rPr>
          <w:b/>
          <w:bCs/>
          <w:color w:val="FF0000"/>
          <w:sz w:val="22"/>
          <w:szCs w:val="22"/>
        </w:rPr>
        <w:t>]</w:t>
      </w:r>
    </w:p>
    <w:p>
      <w:pPr>
        <w:pStyle w:val="Normal"/>
        <w:jc w:val="both"/>
        <w:rPr>
          <w:color w:val="FF0000"/>
          <w:sz w:val="22"/>
          <w:szCs w:val="22"/>
        </w:rPr>
      </w:pPr>
      <w:r>
        <w:rPr>
          <w:color w:val="FF0000"/>
          <w:sz w:val="22"/>
          <w:szCs w:val="22"/>
        </w:rPr>
      </w:r>
    </w:p>
    <w:p>
      <w:pPr>
        <w:pStyle w:val="Normal"/>
        <w:spacing w:lineRule="atLeast" w:line="240"/>
        <w:jc w:val="both"/>
        <w:rPr>
          <w:b/>
          <w:bCs/>
          <w:color w:val="FF0000"/>
          <w:sz w:val="22"/>
          <w:szCs w:val="22"/>
        </w:rPr>
      </w:pPr>
      <w:r>
        <w:rPr>
          <w:b/>
          <w:bCs/>
          <w:color w:val="FF0000"/>
          <w:sz w:val="22"/>
          <w:szCs w:val="22"/>
        </w:rPr>
        <w:t>[EBIT LANGUAGE - INSERT THE FOLLOWING DEFINITIONS:</w:t>
      </w:r>
    </w:p>
    <w:p>
      <w:pPr>
        <w:pStyle w:val="Normal"/>
        <w:spacing w:lineRule="atLeast" w:line="240"/>
        <w:jc w:val="both"/>
        <w:rPr>
          <w:b/>
          <w:bCs/>
          <w:color w:val="FF0000"/>
          <w:sz w:val="22"/>
          <w:szCs w:val="22"/>
        </w:rPr>
      </w:pPr>
      <w:r>
        <w:rPr>
          <w:b/>
          <w:bCs/>
          <w:color w:val="FF0000"/>
          <w:sz w:val="22"/>
          <w:szCs w:val="22"/>
        </w:rPr>
      </w:r>
    </w:p>
    <w:p>
      <w:pPr>
        <w:pStyle w:val="BodyText"/>
        <w:ind w:start="720" w:end="0"/>
        <w:jc w:val="both"/>
        <w:rPr/>
      </w:pPr>
      <w:r>
        <w:rPr>
          <w:b/>
          <w:bCs/>
        </w:rPr>
        <w:t>“</w:t>
      </w:r>
      <w:r>
        <w:rPr>
          <w:b/>
          <w:bCs/>
        </w:rPr>
        <w:t>EBIT”</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amoritization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pPr>
      <w:r>
        <w:rPr>
          <w:b/>
          <w:bCs/>
          <w:sz w:val="22"/>
        </w:rPr>
        <w:t xml:space="preserve"> </w:t>
      </w:r>
      <w:r>
        <w:rPr>
          <w:sz w:val="22"/>
        </w:rPr>
        <w:t xml:space="preserve"> </w:t>
      </w:r>
    </w:p>
    <w:p>
      <w:pPr>
        <w:pStyle w:val="Normal"/>
        <w:spacing w:lineRule="exact" w:line="240" w:before="240" w:after="0"/>
        <w:ind w:start="720" w:end="0"/>
        <w:jc w:val="both"/>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w:t>
      </w:r>
      <w:r>
        <w:rPr>
          <w:color w:val="FF0000"/>
          <w:sz w:val="22"/>
          <w:szCs w:val="22"/>
        </w:rPr>
        <w:t>[</w:t>
      </w:r>
      <w:r>
        <w:rPr>
          <w:sz w:val="22"/>
          <w:szCs w:val="22"/>
        </w:rPr>
        <w:t>Party B’s Credit Support Provider</w:t>
      </w:r>
      <w:r>
        <w:rPr>
          <w:color w:val="FF0000"/>
          <w:sz w:val="22"/>
          <w:szCs w:val="22"/>
        </w:rPr>
        <w:t xml:space="preserve">] </w:t>
      </w:r>
      <w:r>
        <w:rPr>
          <w:sz w:val="22"/>
          <w:szCs w:val="22"/>
        </w:rPr>
        <w:t>under any guarantee of indebtedness or other obligations of any other person.</w:t>
      </w:r>
      <w:r>
        <w:rPr>
          <w:b/>
          <w:bCs/>
          <w:color w:val="FF0000"/>
          <w:sz w:val="22"/>
          <w:szCs w:val="22"/>
        </w:rPr>
        <w:t>]</w:t>
      </w:r>
    </w:p>
    <w:p>
      <w:pPr>
        <w:pStyle w:val="Normal"/>
        <w:ind w:start="360" w:end="0"/>
        <w:jc w:val="both"/>
        <w:rPr>
          <w:rFonts w:ascii="Arial Narrow" w:hAnsi="Arial Narrow" w:cs="Arial Narrow"/>
          <w:b/>
          <w:bCs/>
          <w:i/>
          <w:i/>
          <w:sz w:val="18"/>
          <w:szCs w:val="22"/>
        </w:rPr>
      </w:pPr>
      <w:r>
        <w:rPr>
          <w:rFonts w:cs="Arial Narrow" w:ascii="Arial Narrow" w:hAnsi="Arial Narrow"/>
          <w:b/>
          <w:bCs/>
          <w:i/>
          <w:sz w:val="18"/>
          <w:szCs w:val="22"/>
        </w:rPr>
      </w:r>
    </w:p>
    <w:p>
      <w:pPr>
        <w:pStyle w:val="Heading4"/>
        <w:ind w:hanging="1440" w:start="1440" w:end="0"/>
        <w:rPr/>
      </w:pPr>
      <w:r>
        <w:rPr/>
        <w:t>NOTE:</w:t>
        <w:tab/>
        <w:t>For EBIDTA or EBIT, in addition to the definitions above, add our standard definition for “Net Income”</w:t>
      </w:r>
    </w:p>
    <w:p>
      <w:pPr>
        <w:pStyle w:val="Normal"/>
        <w:spacing w:lineRule="atLeast" w:line="240"/>
        <w:jc w:val="both"/>
        <w:rPr>
          <w:b/>
          <w:bCs/>
          <w:color w:val="FF0000"/>
          <w:sz w:val="22"/>
          <w:szCs w:val="22"/>
        </w:rPr>
      </w:pPr>
      <w:r>
        <w:rPr>
          <w:b/>
          <w:bCs/>
          <w:color w:val="FF0000"/>
          <w:sz w:val="22"/>
          <w:szCs w:val="22"/>
        </w:rPr>
        <w:t xml:space="preserve">  </w:t>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bCs/>
          <w:sz w:val="22"/>
          <w:szCs w:val="22"/>
        </w:rPr>
      </w:pPr>
      <w:r>
        <w:rPr>
          <w:b/>
          <w:bCs/>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/mnt/main-storage/datasets/enron-docs/doc/isdacsa_02_01_01_.doc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/mnt/main-storage/datasets/enron-docs/doc/isdacsa_02_01_01_.doc</w:t>
    </w:r>
    <w:r>
      <w:rPr>
        <w:sz w:val="16"/>
        <w:szCs w:val="16"/>
      </w:rPr>
      <w:fldChar w:fldCharType="end"/>
    </w:r>
  </w:p>
  <w:p>
    <w:pPr>
      <w:pStyle w:val="Foo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/mnt/main-storage/datasets/enron-docs/doc/isdacsa_02_01_01_.doc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/mnt/main-storage/datasets/enron-docs/doc/isdacsa_02_01_01_.doc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szCs w:val="18"/>
        </w:rPr>
        <w:t xml:space="preserve"> </w:t>
      </w:r>
      <w:r>
        <w:rPr>
          <w:sz w:val="18"/>
          <w:szCs w:val="18"/>
        </w:rPr>
        <w:t>Use for Mexican counterparties</w:t>
      </w:r>
    </w:p>
  </w:footnote>
  <w:footnote w:id="3">
    <w:p>
      <w:pPr>
        <w:pStyle w:val="FootnoteText"/>
        <w:rPr/>
      </w:pPr>
      <w:r>
        <w:rPr>
          <w:rStyle w:val="FootnoteCharacters"/>
        </w:rPr>
        <w:footnoteRef/>
      </w:r>
      <w:r>
        <w:rPr/>
        <w:t xml:space="preserve"> </w:t>
      </w:r>
      <w:r>
        <w:rPr>
          <w:sz w:val="18"/>
          <w:szCs w:val="18"/>
        </w:rPr>
        <w:t>Use for Argentine counterparties</w:t>
      </w:r>
    </w:p>
  </w:footnote>
  <w:footnote w:id="4">
    <w:p>
      <w:pPr>
        <w:pStyle w:val="FootnoteText"/>
        <w:rPr/>
      </w:pPr>
      <w:r>
        <w:rPr>
          <w:rStyle w:val="FootnoteCharacters"/>
        </w:rPr>
        <w:footnoteRef/>
      </w:r>
      <w:r>
        <w:rPr/>
        <w:t xml:space="preserve"> </w:t>
      </w:r>
      <w:r>
        <w:rPr>
          <w:sz w:val="18"/>
          <w:szCs w:val="18"/>
        </w:rPr>
        <w:t>Use for Canadian counterparties</w:t>
      </w:r>
    </w:p>
  </w:footnote>
  <w:footnote w:id="5">
    <w:p>
      <w:pPr>
        <w:pStyle w:val="FootnoteText"/>
        <w:rPr/>
      </w:pPr>
      <w:r>
        <w:rPr>
          <w:rStyle w:val="FootnoteCharacters"/>
        </w:rPr>
        <w:footnoteRef/>
      </w:r>
      <w:r>
        <w:rPr>
          <w:sz w:val="18"/>
          <w:szCs w:val="18"/>
        </w:rPr>
        <w:t xml:space="preserve">  </w:t>
      </w:r>
      <w:r>
        <w:rPr>
          <w:sz w:val="18"/>
          <w:szCs w:val="18"/>
        </w:rPr>
        <w:t>Insert if Credit Support Amount will be returned when the Pledgor becomes the “Exposed Party”</w:t>
      </w:r>
    </w:p>
  </w:footnote>
  <w:footnote w:id="6">
    <w:p>
      <w:pPr>
        <w:pStyle w:val="FootnoteText"/>
        <w:rPr/>
      </w:pPr>
      <w:r>
        <w:rPr>
          <w:rStyle w:val="FootnoteCharacters"/>
        </w:rPr>
        <w:footnoteRef/>
      </w:r>
      <w:r>
        <w:rPr>
          <w:sz w:val="18"/>
        </w:rPr>
        <w:t>Insert for hedge funds -- If Credit does not include Letters of Credit as collateral, then insert “none” and delete the Letter of Credit table</w:t>
      </w:r>
    </w:p>
  </w:footnote>
  <w:footnote w:id="7">
    <w:p>
      <w:pPr>
        <w:pStyle w:val="FootnoteText"/>
        <w:rPr/>
      </w:pPr>
      <w:r>
        <w:rPr>
          <w:rStyle w:val="FootnoteCharacters"/>
        </w:rPr>
        <w:footnoteRef/>
      </w:r>
      <w:r>
        <w:rPr>
          <w:sz w:val="18"/>
          <w:szCs w:val="18"/>
        </w:rPr>
        <w:t xml:space="preserve"> </w:t>
      </w:r>
      <w:r>
        <w:rPr>
          <w:sz w:val="18"/>
          <w:szCs w:val="18"/>
        </w:rPr>
        <w:t>Delete for bank counterparty; likely insert for industrial counterparty</w:t>
      </w:r>
    </w:p>
  </w:footnote>
  <w:footnote w:id="8">
    <w:p>
      <w:pPr>
        <w:pStyle w:val="FootnoteText"/>
        <w:rPr/>
      </w:pPr>
      <w:r>
        <w:rPr>
          <w:rStyle w:val="FootnoteCharacters"/>
        </w:rPr>
        <w:footnoteRef/>
      </w:r>
      <w:r>
        <w:rPr/>
        <w:t xml:space="preserve"> </w:t>
      </w:r>
      <w:r>
        <w:rPr>
          <w:sz w:val="18"/>
        </w:rPr>
        <w:t>Insert for hedge funds as a alternative independent amount if Credit includes such on their worksheet</w:t>
      </w:r>
    </w:p>
  </w:footnote>
  <w:footnote w:id="9">
    <w:p>
      <w:pPr>
        <w:pStyle w:val="FootnoteText"/>
        <w:rPr/>
      </w:pPr>
      <w:r>
        <w:rPr>
          <w:rStyle w:val="FootnoteCharacters"/>
        </w:rPr>
        <w:footnoteRef/>
      </w:r>
      <w:r>
        <w:rPr>
          <w:sz w:val="18"/>
          <w:szCs w:val="18"/>
        </w:rPr>
        <w:t xml:space="preserve"> </w:t>
      </w:r>
      <w:r>
        <w:rPr>
          <w:sz w:val="18"/>
          <w:szCs w:val="18"/>
        </w:rPr>
        <w:t>If two rated guarantors, then delete: (1) the phrase "</w:t>
      </w:r>
      <w:r>
        <w:rPr>
          <w:sz w:val="18"/>
          <w:szCs w:val="18"/>
          <w:u w:val="single"/>
        </w:rPr>
        <w:t>the party (or</w:t>
      </w:r>
      <w:r>
        <w:rPr>
          <w:sz w:val="18"/>
          <w:szCs w:val="18"/>
        </w:rPr>
        <w:t>" and (2) the parenthesis after "</w:t>
      </w:r>
      <w:r>
        <w:rPr>
          <w:sz w:val="18"/>
          <w:szCs w:val="18"/>
          <w:u w:val="single"/>
        </w:rPr>
        <w:t>Corp</w:t>
      </w:r>
      <w:r>
        <w:rPr>
          <w:sz w:val="18"/>
          <w:szCs w:val="18"/>
        </w:rPr>
        <w:t>." and (3) the brackets surrounding the phrase "</w:t>
      </w:r>
      <w:r>
        <w:rPr>
          <w:sz w:val="18"/>
          <w:szCs w:val="18"/>
          <w:u w:val="single"/>
        </w:rPr>
        <w:t>in the case of Party B,                and</w:t>
      </w:r>
      <w:r>
        <w:rPr>
          <w:sz w:val="18"/>
          <w:szCs w:val="18"/>
        </w:rPr>
        <w:t>"</w:t>
      </w:r>
    </w:p>
  </w:footnote>
  <w:footnote w:id="10">
    <w:p>
      <w:pPr>
        <w:pStyle w:val="FootnoteText"/>
        <w:rPr/>
      </w:pPr>
      <w:r>
        <w:rPr>
          <w:rStyle w:val="FootnoteCharacters"/>
        </w:rPr>
        <w:footnoteRef/>
      </w:r>
      <w:r>
        <w:rPr>
          <w:sz w:val="18"/>
          <w:szCs w:val="18"/>
        </w:rPr>
        <w:t xml:space="preserve">  </w:t>
      </w:r>
      <w:r>
        <w:rPr>
          <w:sz w:val="18"/>
          <w:szCs w:val="18"/>
        </w:rPr>
        <w:t>Insert as appropriate</w:t>
      </w:r>
    </w:p>
  </w:footnote>
  <w:footnote w:id="11">
    <w:p>
      <w:pPr>
        <w:pStyle w:val="FootnoteText"/>
        <w:rPr/>
      </w:pPr>
      <w:r>
        <w:rPr>
          <w:rStyle w:val="FootnoteCharacters"/>
        </w:rPr>
        <w:footnoteRef/>
      </w:r>
      <w:r>
        <w:rPr>
          <w:sz w:val="18"/>
        </w:rPr>
        <w:t xml:space="preserve"> </w:t>
      </w:r>
      <w:r>
        <w:rPr>
          <w:sz w:val="18"/>
        </w:rPr>
        <w:t>Insert clause (iii) if Credit uses a matrix form of threshold and also includes MAC covenants</w:t>
      </w:r>
      <w:r>
        <w:rPr/>
        <w:t xml:space="preserve"> </w:t>
      </w:r>
    </w:p>
  </w:footnote>
  <w:footnote w:id="12">
    <w:p>
      <w:pPr>
        <w:pStyle w:val="FootnoteText"/>
        <w:rPr/>
      </w:pPr>
      <w:r>
        <w:rPr>
          <w:rStyle w:val="FootnoteCharacters"/>
        </w:rPr>
        <w:footnoteRef/>
      </w:r>
      <w:r>
        <w:rPr>
          <w:sz w:val="18"/>
          <w:szCs w:val="18"/>
        </w:rPr>
        <w:t xml:space="preserve"> </w:t>
      </w:r>
      <w:r>
        <w:rPr>
          <w:sz w:val="18"/>
          <w:szCs w:val="18"/>
        </w:rPr>
        <w:t>Insert “[X]” when Additional Termination Events are added for a party in the Schedule</w:t>
      </w:r>
    </w:p>
  </w:footnote>
  <w:footnote w:id="13">
    <w:p>
      <w:pPr>
        <w:pStyle w:val="FootnoteText"/>
        <w:rPr/>
      </w:pPr>
      <w:r>
        <w:rPr>
          <w:rStyle w:val="FootnoteCharacters"/>
        </w:rPr>
        <w:footnoteRef/>
      </w:r>
      <w:r>
        <w:rPr>
          <w:sz w:val="18"/>
          <w:szCs w:val="18"/>
        </w:rPr>
        <w:t xml:space="preserve"> </w:t>
      </w:r>
      <w:r>
        <w:rPr>
          <w:sz w:val="18"/>
          <w:szCs w:val="18"/>
        </w:rPr>
        <w:t xml:space="preserve">Insert for paper and pulp transactions and in markets where it is difficult to obtain quotations from a marketmaker (check w/a Swap Group Lawyer)  </w:t>
      </w:r>
    </w:p>
  </w:footnote>
  <w:footnote w:id="14">
    <w:p>
      <w:pPr>
        <w:pStyle w:val="FootnoteText"/>
        <w:rPr/>
      </w:pPr>
      <w:r>
        <w:rPr>
          <w:rStyle w:val="FootnoteCharacters"/>
        </w:rPr>
        <w:footnoteRef/>
      </w:r>
      <w:r>
        <w:rPr/>
        <w:t xml:space="preserve"> </w:t>
      </w:r>
      <w:r>
        <w:rPr>
          <w:sz w:val="18"/>
        </w:rPr>
        <w:t>Insert for agricultural transactions/counterparties</w:t>
      </w:r>
    </w:p>
  </w:footnote>
  <w:footnote w:id="15">
    <w:p>
      <w:pPr>
        <w:pStyle w:val="FootnoteText"/>
        <w:rPr/>
      </w:pPr>
      <w:r>
        <w:rPr>
          <w:rStyle w:val="FootnoteCharacters"/>
        </w:rPr>
        <w:footnoteRef/>
      </w:r>
      <w:r>
        <w:rPr/>
        <w:t xml:space="preserve"> </w:t>
      </w:r>
      <w:r>
        <w:rPr>
          <w:sz w:val="18"/>
          <w:szCs w:val="18"/>
        </w:rPr>
        <w:t>Standard language</w:t>
      </w:r>
    </w:p>
  </w:footnote>
  <w:footnote w:id="16">
    <w:p>
      <w:pPr>
        <w:pStyle w:val="FootnoteText"/>
        <w:rPr/>
      </w:pPr>
      <w:r>
        <w:rPr>
          <w:rStyle w:val="FootnoteCharacters"/>
        </w:rPr>
        <w:footnoteRef/>
      </w:r>
      <w:r>
        <w:rPr/>
        <w:t xml:space="preserve"> </w:t>
      </w:r>
      <w:r>
        <w:rPr>
          <w:sz w:val="18"/>
          <w:szCs w:val="18"/>
        </w:rPr>
        <w:t>Always use for Mexican counterparties</w:t>
      </w:r>
    </w:p>
  </w:footnote>
  <w:footnote w:id="17">
    <w:p>
      <w:pPr>
        <w:pStyle w:val="FootnoteText"/>
        <w:rPr/>
      </w:pPr>
      <w:r>
        <w:rPr>
          <w:rStyle w:val="FootnoteCharacters"/>
        </w:rPr>
        <w:footnoteRef/>
      </w:r>
      <w:r>
        <w:rPr/>
        <w:t xml:space="preserve"> </w:t>
      </w:r>
      <w:r>
        <w:rPr>
          <w:sz w:val="18"/>
        </w:rPr>
        <w:t>Delete for hedge funds – delete paragraphs (i) &amp; (j) when Credit does not include Letters of Credit as collateral.  Also need to delete Exhibit A (the L/C provisions), as well as Schedule 1 (L/C format).  Then renumber the remaining paragraphs</w:t>
      </w:r>
    </w:p>
  </w:footnote>
  <w:footnote w:id="18">
    <w:p>
      <w:pPr>
        <w:pStyle w:val="FootnoteText"/>
        <w:rPr/>
      </w:pPr>
      <w:r>
        <w:rPr>
          <w:rStyle w:val="FootnoteCharacters"/>
        </w:rPr>
        <w:footnoteRef/>
      </w:r>
      <w:r>
        <w:rPr>
          <w:sz w:val="18"/>
          <w:szCs w:val="18"/>
        </w:rPr>
        <w:t xml:space="preserve"> </w:t>
      </w:r>
      <w:r>
        <w:rPr>
          <w:sz w:val="18"/>
          <w:szCs w:val="18"/>
        </w:rPr>
        <w:t>Insert if Counterparty is a U.S. bank or thrift subject to FDIA</w:t>
      </w:r>
    </w:p>
  </w:footnote>
  <w:footnote w:id="19">
    <w:p>
      <w:pPr>
        <w:pStyle w:val="FootnoteText"/>
        <w:rPr/>
      </w:pPr>
      <w:r>
        <w:rPr>
          <w:rStyle w:val="FootnoteCharacters"/>
        </w:rPr>
        <w:footnoteRef/>
      </w:r>
      <w:r>
        <w:rPr>
          <w:sz w:val="18"/>
          <w:szCs w:val="18"/>
        </w:rPr>
        <w:t xml:space="preserve"> </w:t>
      </w:r>
      <w:r>
        <w:rPr>
          <w:sz w:val="18"/>
          <w:szCs w:val="18"/>
        </w:rPr>
        <w:t>Insert only if Credit tells us to</w:t>
      </w:r>
    </w:p>
  </w:footnote>
  <w:footnote w:id="20">
    <w:p>
      <w:pPr>
        <w:pStyle w:val="FootnoteText"/>
        <w:rPr/>
      </w:pPr>
      <w:r>
        <w:rPr>
          <w:rStyle w:val="FootnoteCharacters"/>
        </w:rPr>
        <w:footnoteRef/>
      </w:r>
      <w:r>
        <w:rPr/>
        <w:t xml:space="preserve"> </w:t>
      </w:r>
      <w:r>
        <w:rPr>
          <w:sz w:val="18"/>
        </w:rPr>
        <w:t xml:space="preserve">Delete this definition for hedge funds when Credit does not include Letters of Credit as collateral </w:t>
      </w:r>
    </w:p>
  </w:footnote>
  <w:footnote w:id="21">
    <w:p>
      <w:pPr>
        <w:pStyle w:val="FootnoteText"/>
        <w:rPr/>
      </w:pPr>
      <w:r>
        <w:rPr>
          <w:rStyle w:val="FootnoteCharacters"/>
        </w:rPr>
        <w:footnoteRef/>
      </w:r>
      <w:r>
        <w:rPr>
          <w:sz w:val="18"/>
          <w:szCs w:val="18"/>
        </w:rPr>
        <w:t xml:space="preserve"> </w:t>
      </w:r>
      <w:r>
        <w:rPr>
          <w:sz w:val="18"/>
          <w:szCs w:val="18"/>
        </w:rPr>
        <w:t>Delete for stairstep threshold</w:t>
      </w:r>
    </w:p>
  </w:footnote>
  <w:footnote w:id="22">
    <w:p>
      <w:pPr>
        <w:pStyle w:val="FootnoteText"/>
        <w:rPr/>
      </w:pPr>
      <w:r>
        <w:rPr>
          <w:rStyle w:val="FootnoteCharacters"/>
        </w:rPr>
        <w:footnoteRef/>
      </w:r>
      <w:r>
        <w:rPr>
          <w:sz w:val="16"/>
          <w:szCs w:val="16"/>
        </w:rPr>
        <w:t xml:space="preserve"> </w:t>
      </w:r>
      <w:r>
        <w:rPr>
          <w:sz w:val="18"/>
          <w:szCs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2001-02-01T14:31:00Z</dcterms:created>
  <dc:creator>mheard</dc:creator>
  <dc:description/>
  <dc:language>en-CA</dc:language>
  <cp:lastModifiedBy>sbaile2</cp:lastModifiedBy>
  <cp:lastPrinted>2000-10-16T14:31:00Z</cp:lastPrinted>
  <dcterms:modified xsi:type="dcterms:W3CDTF">2001-02-01T20:48:00Z</dcterms:modified>
  <cp:revision>4</cp:revision>
  <dc:subject/>
  <dc:title>ISDA EXHIBITS DOCUMENT</dc:title>
</cp:coreProperties>
</file>