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(COMMODITY &lt;&lt;CAP/FLOOR&gt;&gt;)</w:t>
      </w:r>
    </w:p>
    <w:p>
      <w:pPr>
        <w:pStyle w:val="Normal"/>
        <w:tabs>
          <w:tab w:val="clear" w:pos="720"/>
          <w:tab w:val="left" w:pos="6480" w:leader="none"/>
        </w:tabs>
        <w:rPr>
          <w:b/>
          <w:sz w:val="18"/>
        </w:rPr>
      </w:pPr>
      <w:r>
        <w:rPr>
          <w:b/>
          <w:sz w:val="18"/>
        </w:rPr>
      </w:r>
    </w:p>
    <w:p>
      <w:pPr>
        <w:pStyle w:val="Normal"/>
        <w:tabs>
          <w:tab w:val="clear" w:pos="720"/>
          <w:tab w:val="left" w:pos="6480" w:leader="none"/>
        </w:tabs>
        <w:rPr>
          <w:sz w:val="18"/>
        </w:rPr>
      </w:pPr>
      <w:r>
        <w:rPr>
          <w:sz w:val="18"/>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Cap/Floor</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18"/>
        </w:rPr>
      </w:pPr>
      <w:r>
        <w:rPr>
          <w:sz w:val="18"/>
        </w:rPr>
      </w:r>
    </w:p>
    <w:p>
      <w:pPr>
        <w:pStyle w:val="BodyTextIndent"/>
        <w:rPr>
          <w:sz w:val="18"/>
        </w:rPr>
      </w:pPr>
      <w:r>
        <w:rPr>
          <w:sz w:val="18"/>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the ISDA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r>
        <w:rPr>
          <w:sz w:val="22"/>
          <w:vertAlign w:val="superscript"/>
        </w:rPr>
        <w:t>1</w:t>
      </w:r>
    </w:p>
    <w:p>
      <w:pPr>
        <w:pStyle w:val="BodyTextIndent"/>
        <w:rPr>
          <w:sz w:val="18"/>
        </w:rPr>
      </w:pPr>
      <w:r>
        <w:rPr>
          <w:sz w:val="18"/>
        </w:rPr>
      </w:r>
    </w:p>
    <w:p>
      <w:pPr>
        <w:pStyle w:val="BodyTextIndent"/>
        <w:tabs>
          <w:tab w:val="left" w:pos="90" w:leader="none"/>
          <w:tab w:val="left" w:pos="2160" w:leader="none"/>
          <w:tab w:val="left" w:pos="4320" w:leader="none"/>
          <w:tab w:val="left" w:pos="6480" w:leader="none"/>
        </w:tabs>
        <w:rPr>
          <w:sz w:val="18"/>
        </w:rPr>
      </w:pPr>
      <w:r>
        <w:rPr>
          <w:sz w:val="18"/>
        </w:rPr>
      </w:r>
    </w:p>
    <w:p>
      <w:pPr>
        <w:pStyle w:val="BodyTextIndent"/>
        <w:tabs>
          <w:tab w:val="left" w:pos="90" w:leader="none"/>
          <w:tab w:val="left" w:pos="2160" w:leader="none"/>
          <w:tab w:val="left" w:pos="4320" w:leader="none"/>
          <w:tab w:val="left" w:pos="6480" w:leader="none"/>
        </w:tabs>
        <w:rPr>
          <w:b/>
          <w:sz w:val="22"/>
        </w:rPr>
      </w:pPr>
      <w:r>
        <w:rPr>
          <w:b/>
          <w:sz w:val="22"/>
        </w:rPr>
        <w:t>General Terms:</w:t>
      </w:r>
    </w:p>
    <w:p>
      <w:pPr>
        <w:pStyle w:val="BodyTextIndent"/>
        <w:tabs>
          <w:tab w:val="left" w:pos="90" w:leader="none"/>
          <w:tab w:val="left" w:pos="216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Calculation Period:</w:t>
        <w:tab/>
        <w:t xml:space="preserve"> </w:t>
        <w:tab/>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r>
        <w:rPr>
          <w:rFonts w:eastAsia="Symbol" w:cs="Symbol" w:ascii="Symbol" w:hAnsi="Symbol"/>
          <w:sz w:val="22"/>
        </w:rPr>
        <w:sym w:font="Symbol" w:char="f03c"/>
        <w:sym w:font="Symbol" w:char="f03c"/>
      </w:r>
      <w:r>
        <w:rPr>
          <w:sz w:val="22"/>
        </w:rPr>
        <w:t>UnitOfMeasure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r>
        <w:rPr>
          <w:rFonts w:eastAsia="Symbol" w:cs="Symbol" w:ascii="Symbol" w:hAnsi="Symbol"/>
          <w:sz w:val="22"/>
        </w:rPr>
        <w:sym w:font="Symbol" w:char="f03c"/>
        <w:sym w:font="Symbol" w:char="f03c"/>
      </w:r>
      <w:r>
        <w:rPr>
          <w:sz w:val="22"/>
        </w:rPr>
        <w:t>TransStartDate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t>Termination Date:</w:t>
        <w:tab/>
        <w:tab/>
      </w:r>
      <w:r>
        <w:rPr>
          <w:rFonts w:eastAsia="Symbol" w:cs="Symbol" w:ascii="Symbol" w:hAnsi="Symbol"/>
          <w:sz w:val="22"/>
        </w:rPr>
        <w:sym w:font="Symbol" w:char="f03c"/>
        <w:sym w:font="Symbol" w:char="f03c"/>
      </w:r>
      <w:r>
        <w:rPr>
          <w:sz w:val="22"/>
        </w:rPr>
        <w:t>TransStopDate</w:t>
      </w:r>
      <w:r>
        <w:rPr>
          <w:rFonts w:eastAsia="Symbol" w:cs="Symbol" w:ascii="Symbol" w:hAnsi="Symbol"/>
          <w:sz w:val="22"/>
        </w:rPr>
        <w:sym w:font="Symbol" w:char="f03e"/>
        <w:sym w:font="Symbol" w:char="f03e"/>
      </w:r>
      <w:r>
        <w:rPr>
          <w:sz w:val="22"/>
        </w:rPr>
        <w:t xml:space="preserve"> </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Calculation Period(s):</w:t>
        <w:tab/>
        <w:tab/>
        <w:t>&lt;&lt;DeterminationPeriod&gt;&gt;</w:t>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ab/>
        <w:tab/>
        <w:tab/>
        <w:t>&lt;&lt;HolidayExclusion&gt;&gt;</w:t>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&lt;&lt;PartyA/B/ISDABuyer&gt;&gt;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[(Buyer)]</w:t>
      </w:r>
      <w:r>
        <w:rPr>
          <w:sz w:val="22"/>
          <w:vertAlign w:val="superscript"/>
        </w:rPr>
        <w:t xml:space="preserve"> 2</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sz w:val="22"/>
        </w:rPr>
        <w:tab/>
        <w:t xml:space="preserve">Fixed Amount </w:t>
      </w:r>
      <w:r>
        <w:rPr>
          <w:sz w:val="22"/>
          <w:vertAlign w:val="superscript"/>
        </w:rPr>
        <w:t>3</w:t>
      </w:r>
      <w:r>
        <w:rPr>
          <w:sz w:val="22"/>
        </w:rPr>
        <w:tab/>
        <w:tab/>
        <w:t>&lt;&lt;Premium&gt;&gt;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Payer Payment Date(s):</w:t>
        <w:tab/>
        <w:t>&lt;&lt;PremiumDueDate&gt;&gt;</w:t>
        <w:tab/>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w:t>
        <w:tab/>
        <w:tab/>
        <w:t>&lt;&lt;PartyB/A/ISDASeller&gt;&gt;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[(Seller)]</w:t>
      </w:r>
      <w:r>
        <w:rPr>
          <w:sz w:val="22"/>
          <w:vertAlign w:val="superscript"/>
        </w:rPr>
        <w:t>2</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&lt;&lt;Cap/Floor&gt;&gt; Price:</w:t>
        <w:tab/>
        <w:tab/>
        <w:t>&lt;&lt;Cap/FloorPrice&gt;&gt;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and Pricing Date:</w:t>
        <w:tab/>
        <w:t>&lt;&lt;FloatPrice&gt;&gt;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&lt;&lt;AlternatePriceLit&gt;&gt;</w:t>
        <w:tab/>
        <w:tab/>
        <w:t>&lt;&lt;AlternatePriceLit&gt;&gt;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 Payment Date(s):</w:t>
        <w:tab/>
        <w:t>&lt;&lt;SettlementDate&gt;&gt;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&lt;Rounding&gt;</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clear" w:pos="2160"/>
          <w:tab w:val="left" w:pos="90" w:leader="none"/>
          <w:tab w:val="left" w:pos="810" w:leader="none"/>
          <w:tab w:val="left" w:pos="1530" w:leader="none"/>
          <w:tab w:val="left" w:pos="4320" w:leader="none"/>
          <w:tab w:val="left" w:pos="6480" w:leader="none"/>
        </w:tabs>
        <w:rPr>
          <w:sz w:val="22"/>
        </w:rPr>
      </w:pPr>
      <w:r>
        <w:rPr>
          <w:sz w:val="22"/>
        </w:rPr>
        <w:tab/>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&lt;&lt;DealNumber&gt;&gt;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8"/>
        </w:rPr>
      </w:pPr>
      <w:r>
        <w:rPr>
          <w:sz w:val="18"/>
        </w:rPr>
      </w:r>
    </w:p>
    <w:p>
      <w:pPr>
        <w:pStyle w:val="BodyTextIndent"/>
        <w:tabs>
          <w:tab w:val="left" w:pos="90" w:leader="none"/>
          <w:tab w:val="left" w:pos="810" w:leader="none"/>
          <w:tab w:val="left" w:pos="2160" w:leader="none"/>
          <w:tab w:val="left" w:pos="4320" w:leader="none"/>
          <w:tab w:val="left" w:pos="5040" w:leader="none"/>
          <w:tab w:val="left" w:pos="6480" w:leader="none"/>
        </w:tabs>
        <w:rPr>
          <w:sz w:val="18"/>
        </w:rPr>
      </w:pPr>
      <w:r>
        <w:rPr>
          <w:sz w:val="18"/>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16"/>
          <w:vertAlign w:val="superscript"/>
        </w:rPr>
        <w:t>2</w:t>
      </w:r>
      <w:r>
        <w:rPr>
          <w:sz w:val="16"/>
        </w:rPr>
        <w:t xml:space="preserve"> Adding the designations of "Buyer" and "Seller" not required but may be helpful.</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16"/>
          <w:vertAlign w:val="superscript"/>
        </w:rPr>
        <w:t>3</w:t>
      </w:r>
      <w:r>
        <w:rPr>
          <w:sz w:val="16"/>
        </w:rPr>
        <w:t xml:space="preserve"> The one-time premium paid by the Buyer is treated as a "Fixed Amount" in ISDA terminology (see Article 4.1 of the 1993 Commodity Derivatives Definitions).</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/mnt/main-storage/datasets/enron-docs/doc/isdacapfloor.doc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ISDAcap/floor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1998-10-01T12:47:00Z</dcterms:created>
  <dc:creator>wende warren</dc:creator>
  <dc:description/>
  <dc:language>en-CA</dc:language>
  <cp:lastModifiedBy>kaye ellis</cp:lastModifiedBy>
  <cp:lastPrinted>1999-08-25T09:54:00Z</cp:lastPrinted>
  <dcterms:modified xsi:type="dcterms:W3CDTF">1999-08-25T12:25:00Z</dcterms:modified>
  <cp:revision>21</cp:revision>
  <dc:subject/>
  <dc:title/>
</cp:coreProperties>
</file>