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u w:val="single"/>
        </w:rPr>
      </w:pPr>
      <w:r>
        <w:rPr>
          <w:b/>
          <w:bCs/>
          <w:sz w:val="22"/>
          <w:szCs w:val="22"/>
          <w:u w:val="single"/>
        </w:rPr>
        <w:t>DRAFT OF 01/09/2001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$____________ (or its equivalent in another currency); </w:t>
      </w:r>
      <w:r>
        <w:rPr>
          <w:color w:val="FF0000"/>
          <w:sz w:val="22"/>
          <w:szCs w:val="22"/>
        </w:rPr>
        <w:t>[</w:t>
      </w:r>
      <w:r>
        <w:rPr>
          <w:sz w:val="22"/>
          <w:szCs w:val="22"/>
        </w:rPr>
        <w:t>with respect to Party A’s Credit Support Provider, U.S. $____________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color w:val="FF0000"/>
          <w:sz w:val="22"/>
          <w:szCs w:val="22"/>
          <w:u w:val="single"/>
        </w:rPr>
        <w:t>provided</w:t>
      </w:r>
      <w:r>
        <w:rPr>
          <w:color w:val="FF0000"/>
          <w:sz w:val="22"/>
          <w:szCs w:val="22"/>
        </w:rPr>
        <w:t xml:space="preserve">, </w:t>
      </w:r>
      <w:r>
        <w:rPr>
          <w:color w:val="FF0000"/>
          <w:sz w:val="22"/>
          <w:szCs w:val="22"/>
          <w:u w:val="single"/>
        </w:rPr>
        <w:t>that</w:t>
      </w:r>
      <w:r>
        <w:rPr>
          <w:color w:val="FF0000"/>
          <w:sz w:val="22"/>
          <w:szCs w:val="22"/>
        </w:rPr>
        <w:t>, such Threshold Amount shall apply individually and not collectively with respect to each entity set forth above notwithstanding anything to the contrary set forth in Section 5(a)(vi) of the Master Agreement]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 xml:space="preserve">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p>
    <w:p>
      <w:pPr>
        <w:pStyle w:val="Normal"/>
        <w:ind w:hanging="720" w:start="144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the Manager resigns, is terminated or is otherwise incapacitated for a period exceeding _______________.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(c)</w:t>
        <w:tab/>
        <w:t>If the Management Agreement is terminated by either the Manager or Party B (including breach of the Management Agreement or the Investment Policy).]</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color w:val="FF0000"/>
          <w:sz w:val="22"/>
          <w:szCs w:val="22"/>
        </w:rPr>
        <w:t>[</w:t>
      </w:r>
      <w:r>
        <w:rPr>
          <w:sz w:val="22"/>
          <w:szCs w:val="22"/>
        </w:rPr>
        <w:t>(a)</w:t>
        <w:tab/>
        <w:t>Tax forms, documents, or certificates to be delivered are:  {Insert Appropriate Tax Forms Module}</w:t>
      </w:r>
      <w:r>
        <w:rPr>
          <w:color w:val="FF0000"/>
          <w:sz w:val="22"/>
          <w:szCs w:val="22"/>
        </w:rPr>
        <w:t>]</w:t>
      </w:r>
    </w:p>
    <w:p>
      <w:pPr>
        <w:pStyle w:val="Normal"/>
        <w:spacing w:lineRule="exact" w:line="240" w:before="240" w:after="0"/>
        <w:jc w:val="both"/>
        <w:rPr/>
      </w:pPr>
      <w:r>
        <w:rPr>
          <w:color w:val="FF0000"/>
          <w:sz w:val="22"/>
          <w:szCs w:val="22"/>
        </w:rPr>
        <w:t>[</w:t>
      </w:r>
      <w:r>
        <w:rPr>
          <w:sz w:val="22"/>
          <w:szCs w:val="22"/>
        </w:rPr>
        <w:t>(b)</w:t>
      </w:r>
      <w:r>
        <w:rPr>
          <w:color w:val="FF0000"/>
          <w:sz w:val="22"/>
          <w:szCs w:val="22"/>
        </w:rPr>
        <w:t>]</w:t>
      </w:r>
      <w:r>
        <w:rPr/>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B’s and its Credit Support Provider’s (if any) board of directors (or other governing body) authorizing this Agreement and the Transactions contemplated hereby (or the Credit Support Document, as the case may be) and (b) copies of Party B’s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certified copy of a Power of Attorney authorizing a specified person or persons to execute and deliver on its behalf this Agreement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0000FF"/>
          <w:sz w:val="22"/>
          <w:szCs w:val="22"/>
        </w:rPr>
        <w:t>[the English language in]</w:t>
      </w:r>
      <w:r>
        <w:rPr>
          <w:rStyle w:val="FootnoteCharacters"/>
          <w:rStyle w:val="FootnoteReference"/>
          <w:color w:val="0000FF"/>
          <w:sz w:val="20"/>
          <w:szCs w:val="20"/>
        </w:rPr>
        <w:footnoteReference w:id="47"/>
      </w:r>
      <w:r>
        <w:rPr>
          <w:color w:val="0000FF"/>
          <w:sz w:val="22"/>
          <w:szCs w:val="22"/>
        </w:rPr>
        <w:t xml:space="preserve">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8"/>
      </w:r>
    </w:p>
    <w:p>
      <w:pPr>
        <w:pStyle w:val="Normal"/>
        <w:ind w:start="720" w:end="0"/>
        <w:jc w:val="both"/>
        <w:rPr>
          <w:b/>
          <w:bCs/>
          <w:color w:val="FF0000"/>
          <w:sz w:val="22"/>
          <w:szCs w:val="22"/>
        </w:rPr>
      </w:pPr>
      <w:r>
        <w:rPr>
          <w:b/>
          <w:bCs/>
          <w:color w:val="FF0000"/>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sz w:val="22"/>
          <w:szCs w:val="22"/>
          <w:u w:val="single"/>
        </w:rPr>
        <w:t xml:space="preserve">                     </w:t>
      </w:r>
      <w:r>
        <w:rPr>
          <w:sz w:val="22"/>
          <w:szCs w:val="22"/>
        </w:rPr>
        <w:t>] on the date of this Agreement at [______________].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Party A appoints as its Process Agent,</w:t>
      </w:r>
      <w:r>
        <w:rPr>
          <w:color w:val="800080"/>
          <w:sz w:val="22"/>
          <w:szCs w:val="22"/>
          <w:u w:val="single"/>
        </w:rPr>
        <w:t xml:space="preserve">____                              </w:t>
      </w:r>
      <w:r>
        <w:rPr>
          <w:color w:val="800080"/>
          <w:sz w:val="22"/>
          <w:szCs w:val="22"/>
        </w:rPr>
        <w:t>its Corporate Secretary having an office in Calgary, Alberta on the date of this Agreement at 400-3rd Avenue, Suite 3500, Calgary, Alberta T2P 4H2;  Party B appoints as its Process Agent, [</w:t>
      </w:r>
      <w:r>
        <w:rPr>
          <w:color w:val="800080"/>
          <w:sz w:val="22"/>
          <w:szCs w:val="22"/>
          <w:u w:val="single"/>
        </w:rPr>
        <w:t xml:space="preserve">                       </w:t>
      </w:r>
      <w:r>
        <w:rPr>
          <w:color w:val="800080"/>
          <w:sz w:val="22"/>
          <w:szCs w:val="22"/>
        </w:rPr>
        <w:t>], having an office in [</w:t>
      </w:r>
      <w:r>
        <w:rPr>
          <w:color w:val="800080"/>
          <w:sz w:val="22"/>
          <w:szCs w:val="22"/>
          <w:u w:val="single"/>
        </w:rPr>
        <w:t xml:space="preserve">                     </w:t>
      </w:r>
      <w:r>
        <w:rPr>
          <w:color w:val="800080"/>
          <w:sz w:val="22"/>
          <w:szCs w:val="22"/>
        </w:rPr>
        <w:t>]on the date of this Agreement at [_____________________].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w:t>
      </w:r>
      <w:r>
        <w:rPr>
          <w:color w:val="FF0000"/>
          <w:sz w:val="22"/>
          <w:szCs w:val="22"/>
        </w:rPr>
        <w:t>[</w:t>
      </w:r>
      <w:r>
        <w:rPr>
          <w:sz w:val="22"/>
          <w:szCs w:val="22"/>
        </w:rPr>
        <w:t>and</w:t>
      </w:r>
      <w:r>
        <w:rPr>
          <w:color w:val="FF0000"/>
          <w:sz w:val="22"/>
          <w:szCs w:val="22"/>
        </w:rPr>
        <w:t>]</w:t>
      </w:r>
      <w:r>
        <w:rPr>
          <w:sz w:val="22"/>
          <w:szCs w:val="22"/>
        </w:rPr>
        <w:t xml:space="preserve"> (j) </w:t>
      </w:r>
      <w:r>
        <w:rPr>
          <w:color w:val="800080"/>
          <w:sz w:val="22"/>
          <w:szCs w:val="22"/>
        </w:rPr>
        <w:t>[and (k)]</w:t>
      </w:r>
      <w:r>
        <w:rPr>
          <w:sz w:val="22"/>
          <w:szCs w:val="22"/>
        </w:rPr>
        <w:t>:</w:t>
      </w:r>
    </w:p>
    <w:p>
      <w:pPr>
        <w:pStyle w:val="Normal"/>
        <w:spacing w:lineRule="exact" w:line="240" w:before="240" w:after="0"/>
        <w:ind w:firstLine="720" w:start="720" w:end="0"/>
        <w:jc w:val="both"/>
        <w:rPr>
          <w:sz w:val="22"/>
          <w:szCs w:val="22"/>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r>
        <w:rPr>
          <w:rStyle w:val="FootnoteCharacters"/>
          <w:rStyle w:val="FootnoteReference"/>
        </w:rPr>
        <w:footnoteReference w:id="53"/>
      </w:r>
    </w:p>
    <w:p>
      <w:pPr>
        <w:pStyle w:val="Normal"/>
        <w:spacing w:lineRule="exact" w:line="240" w:before="240" w:after="0"/>
        <w:ind w:firstLine="720" w:start="720" w:end="0"/>
        <w:jc w:val="both"/>
        <w:rPr>
          <w:sz w:val="22"/>
          <w:szCs w:val="22"/>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r>
        <w:rPr>
          <w:rStyle w:val="FootnoteCharacters"/>
          <w:rStyle w:val="FootnoteReference"/>
          <w:color w:val="FF0000"/>
          <w:sz w:val="20"/>
          <w:szCs w:val="20"/>
        </w:rPr>
        <w:footnoteReference w:id="54"/>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rStyle w:val="FootnoteCharacters"/>
          <w:rStyle w:val="FootnoteReference"/>
          <w:color w:val="800080"/>
          <w:sz w:val="20"/>
          <w:szCs w:val="20"/>
        </w:rPr>
        <w:footnoteReference w:id="55"/>
      </w:r>
      <w:r>
        <w:rPr>
          <w:color w:val="800080"/>
          <w:sz w:val="22"/>
          <w:szCs w:val="22"/>
        </w:rPr>
        <w:t>[(k)</w:t>
        <w:tab/>
      </w:r>
      <w:r>
        <w:rPr>
          <w:b/>
          <w:bCs/>
          <w:color w:val="800080"/>
          <w:sz w:val="22"/>
          <w:szCs w:val="22"/>
        </w:rPr>
        <w:t>Canadian Securities Acts.</w:t>
      </w:r>
      <w:r>
        <w:rPr>
          <w:color w:val="800080"/>
          <w:sz w:val="22"/>
          <w:szCs w:val="22"/>
        </w:rPr>
        <w:t xml:space="preserve">  (i) Each Transaction shall constitute an “OTC Derivative” as defined in the </w:t>
      </w:r>
      <w:r>
        <w:rPr>
          <w:i/>
          <w:iCs/>
          <w:color w:val="800080"/>
          <w:sz w:val="22"/>
          <w:szCs w:val="22"/>
        </w:rPr>
        <w:t>Securities Act</w:t>
      </w:r>
      <w:r>
        <w:rPr>
          <w:color w:val="800080"/>
          <w:sz w:val="22"/>
          <w:szCs w:val="22"/>
        </w:rPr>
        <w:t xml:space="preserve"> (Alberta) and the </w:t>
      </w:r>
      <w:r>
        <w:rPr>
          <w:i/>
          <w:iCs/>
          <w:color w:val="800080"/>
          <w:sz w:val="22"/>
          <w:szCs w:val="22"/>
        </w:rPr>
        <w:t>Securities Act</w:t>
      </w:r>
      <w:r>
        <w:rPr>
          <w:color w:val="80008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6"/>
      </w:r>
      <w:r>
        <w:rPr>
          <w:color w:val="FF00FF"/>
          <w:sz w:val="22"/>
          <w:szCs w:val="22"/>
        </w:rPr>
        <w:t>[(k)</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8"/>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59"/>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0"/>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1"/>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2"/>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 _______________ ]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w:t>
      </w:r>
      <w:r>
        <w:rPr>
          <w:rFonts w:cs="Times New Roman" w:ascii="Times New Roman" w:hAnsi="Times New Roman"/>
          <w:color w:val="0000FF"/>
          <w:sz w:val="22"/>
          <w:szCs w:val="22"/>
          <w:u w:val="single"/>
        </w:rPr>
        <w:t>Registro Publico de Comercio de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3"/>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rStyle w:val="FootnoteCharacters"/>
          <w:rStyle w:val="FootnoteReference"/>
          <w:color w:val="FF0000"/>
          <w:sz w:val="20"/>
          <w:szCs w:val="20"/>
        </w:rPr>
        <w:footnoteReference w:id="64"/>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5"/>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6"/>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7"/>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8"/>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9"/>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0"/>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sz w:val="22"/>
          <w:szCs w:val="22"/>
        </w:rPr>
      </w:pP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1"/>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2"/>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3"/>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4"/>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5"/>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atLeast" w:line="240" w:before="240" w:after="0"/>
        <w:ind w:firstLine="720" w:end="0"/>
        <w:jc w:val="both"/>
        <w:rPr/>
      </w:pPr>
      <w:r>
        <w:rPr>
          <w:rStyle w:val="FootnoteCharacters"/>
          <w:rStyle w:val="FootnoteReference"/>
          <w:b/>
          <w:bCs/>
          <w:color w:val="993300"/>
        </w:rPr>
        <w:footnoteReference w:id="76"/>
      </w:r>
      <w:r>
        <w:rPr>
          <w:color w:val="993300"/>
          <w:sz w:val="22"/>
          <w:szCs w:val="22"/>
        </w:rPr>
        <w:t>[(a)</w:t>
        <w:tab/>
      </w:r>
      <w:r>
        <w:rPr>
          <w:b/>
          <w:bCs/>
          <w:color w:val="993300"/>
          <w:sz w:val="22"/>
          <w:szCs w:val="22"/>
        </w:rPr>
        <w:t xml:space="preserve">“Net Asset Value” </w:t>
      </w:r>
      <w:r>
        <w:rPr>
          <w:color w:val="993300"/>
          <w:sz w:val="22"/>
          <w:szCs w:val="22"/>
        </w:rPr>
        <w:t>means ______[“has the meaning set forth in the prospectus”]</w:t>
      </w:r>
    </w:p>
    <w:p>
      <w:pPr>
        <w:pStyle w:val="Normal"/>
        <w:spacing w:lineRule="atLeast" w:line="240" w:before="240" w:after="0"/>
        <w:ind w:firstLine="720" w:end="0"/>
        <w:jc w:val="both"/>
        <w:rPr/>
      </w:pPr>
      <w:r>
        <w:rPr>
          <w:color w:val="993300"/>
          <w:sz w:val="22"/>
          <w:szCs w:val="22"/>
        </w:rPr>
        <w:t>(b)</w:t>
        <w:tab/>
      </w:r>
      <w:r>
        <w:rPr>
          <w:b/>
          <w:bCs/>
          <w:color w:val="993300"/>
          <w:sz w:val="22"/>
          <w:szCs w:val="22"/>
        </w:rPr>
        <w:t xml:space="preserve">“Liabilities” </w:t>
      </w:r>
      <w:r>
        <w:rPr>
          <w:color w:val="993300"/>
          <w:sz w:val="22"/>
          <w:szCs w:val="22"/>
        </w:rPr>
        <w:t>means ______ (must include short positions).</w:t>
      </w:r>
    </w:p>
    <w:p>
      <w:pPr>
        <w:pStyle w:val="Normal"/>
        <w:spacing w:lineRule="atLeast" w:line="240" w:before="240" w:after="0"/>
        <w:ind w:start="720" w:end="0"/>
        <w:jc w:val="both"/>
        <w:rPr/>
      </w:pPr>
      <w:r>
        <w:rPr>
          <w:color w:val="993300"/>
          <w:sz w:val="22"/>
          <w:szCs w:val="22"/>
        </w:rPr>
        <w:t>(c)</w:t>
        <w:tab/>
      </w:r>
      <w:r>
        <w:rPr>
          <w:b/>
          <w:bCs/>
          <w:color w:val="993300"/>
          <w:sz w:val="22"/>
          <w:szCs w:val="22"/>
        </w:rPr>
        <w:t xml:space="preserve">“Management Agreement” </w:t>
      </w:r>
      <w:r>
        <w:rPr>
          <w:color w:val="993300"/>
          <w:sz w:val="22"/>
          <w:szCs w:val="22"/>
        </w:rPr>
        <w:t>means that certain agreement dated ____________ between Party B and the Manager for managing the operations and affairs of Party B.</w:t>
      </w:r>
    </w:p>
    <w:p>
      <w:pPr>
        <w:pStyle w:val="BodyTextIndent"/>
        <w:spacing w:lineRule="atLeast" w:line="240"/>
        <w:rPr/>
      </w:pPr>
      <w:r>
        <w:rPr>
          <w:color w:val="993300"/>
        </w:rPr>
        <w:t>(d)</w:t>
        <w:tab/>
      </w:r>
      <w:r>
        <w:rPr>
          <w:b/>
          <w:bCs/>
          <w:color w:val="993300"/>
        </w:rPr>
        <w:t xml:space="preserve">“Investment Policy” </w:t>
      </w:r>
      <w:r>
        <w:rPr>
          <w:color w:val="993300"/>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color w:val="993300"/>
          <w:sz w:val="22"/>
          <w:szCs w:val="22"/>
        </w:rPr>
        <w:t>(e)</w:t>
        <w:tab/>
      </w:r>
      <w:r>
        <w:rPr>
          <w:b/>
          <w:bCs/>
          <w:color w:val="993300"/>
          <w:sz w:val="22"/>
          <w:szCs w:val="22"/>
        </w:rPr>
        <w:t xml:space="preserve">“Manager” </w:t>
      </w:r>
      <w:r>
        <w:rPr>
          <w:color w:val="993300"/>
          <w:sz w:val="22"/>
          <w:szCs w:val="22"/>
        </w:rPr>
        <w:t>means __________.]</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7"/>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8"/>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79"/>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0"/>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1"/>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2"/>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3"/>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color w:val="0000FF"/>
          <w:sz w:val="22"/>
          <w:szCs w:val="22"/>
        </w:rPr>
      </w:pPr>
      <w:r>
        <w:rPr>
          <w:b/>
          <w:bCs/>
          <w:color w:val="0000FF"/>
          <w:sz w:val="22"/>
          <w:szCs w:val="22"/>
        </w:rPr>
      </w:r>
    </w:p>
    <w:p>
      <w:pPr>
        <w:pStyle w:val="Normal"/>
        <w:jc w:val="center"/>
        <w:rPr/>
      </w:pPr>
      <w:r>
        <w:rPr>
          <w:rStyle w:val="FootnoteCharacters"/>
          <w:rStyle w:val="FootnoteReference"/>
          <w:color w:val="808000"/>
          <w:sz w:val="20"/>
          <w:szCs w:val="20"/>
        </w:rPr>
        <w:footnoteReference w:id="84"/>
      </w:r>
      <w:r>
        <w:rPr>
          <w:color w:val="808000"/>
          <w:sz w:val="22"/>
          <w:szCs w:val="22"/>
        </w:rPr>
        <w:t>ATTACHMENT A</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5"/>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6"/>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7"/>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88"/>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p>
    <w:p>
      <w:pPr>
        <w:pStyle w:val="Header"/>
        <w:widowControl/>
        <w:rPr>
          <w:color w:val="808000"/>
          <w:sz w:val="22"/>
          <w:szCs w:val="22"/>
        </w:rPr>
      </w:pPr>
      <w:r>
        <w:rPr>
          <w:color w:val="808000"/>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pPr>
      <w:r>
        <w:rPr>
          <w:rStyle w:val="FootnoteCharacters"/>
          <w:rStyle w:val="FootnoteReference"/>
          <w:color w:val="FF00FF"/>
          <w:sz w:val="20"/>
          <w:szCs w:val="20"/>
        </w:rPr>
        <w:footnoteReference w:id="89"/>
      </w:r>
      <w:r>
        <w:rPr>
          <w:color w:val="FF00FF"/>
          <w:sz w:val="22"/>
          <w:szCs w:val="22"/>
        </w:rPr>
        <w:t>ATTACHMENT 1</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t>LEGAL OPINION</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0"/>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1"/>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color w:val="FF00FF"/>
          <w:sz w:val="22"/>
          <w:szCs w:val="22"/>
        </w:rPr>
        <w:t>Very truly yours,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color w:val="FF00FF"/>
          <w:sz w:val="22"/>
          <w:szCs w:val="22"/>
        </w:rPr>
      </w:pPr>
      <w:r>
        <w:rPr>
          <w:color w:val="FF00FF"/>
          <w:sz w:val="22"/>
          <w:szCs w:val="22"/>
        </w:rPr>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Normal"/>
        <w:spacing w:lineRule="exact" w:line="240"/>
        <w:jc w:val="both"/>
        <w:rPr>
          <w:sz w:val="22"/>
          <w:szCs w:val="22"/>
        </w:rPr>
      </w:pPr>
      <w:r>
        <w:rPr>
          <w:sz w:val="22"/>
          <w:szCs w:val="22"/>
        </w:rPr>
      </w:r>
    </w:p>
    <w:p>
      <w:pPr>
        <w:pStyle w:val="Normal"/>
        <w:spacing w:lineRule="exact" w:line="24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ind w:firstLine="720" w:start="720" w:end="0"/>
        <w:jc w:val="both"/>
        <w:rPr>
          <w:sz w:val="22"/>
          <w:szCs w:val="22"/>
        </w:rPr>
      </w:pPr>
      <w:r>
        <w:rPr>
          <w:sz w:val="22"/>
          <w:szCs w:val="22"/>
        </w:rPr>
      </w:r>
    </w:p>
    <w:p>
      <w:pPr>
        <w:pStyle w:val="BodyTextIndent"/>
        <w:spacing w:before="0" w:after="0"/>
        <w:rPr/>
      </w:pPr>
      <w:r>
        <w:rPr/>
        <w:t>Party B agrees to complete (accurately and in a manner reasonably satisfactory to Party A), execute, and deliver to Party A a United States Internal Revenue Service Form W</w:t>
        <w:noBreakHyphen/>
        <w:t>8ECI, or any successor form, (i) before the first Scheduled Payment Date under this Agreement, and thereafter prior to the first Scheduled Payment date in each third successive taxable year of Party B, (ii) promptly upon reasonable demand by Party A, and (iii) promptly upon learning that any such form previously provided by Party B has become obsolete or incorrect.</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jc w:val="both"/>
        <w:rPr>
          <w:sz w:val="22"/>
          <w:szCs w:val="22"/>
        </w:rPr>
      </w:pPr>
      <w:r>
        <w:rPr>
          <w:sz w:val="22"/>
          <w:szCs w:val="22"/>
        </w:rPr>
        <w:t>Party B agrees to complete (accurately and in a manner reasonably satisfactory to Party A), execute, and deliver to Party A a United States Internal Revenue Service FormW</w:t>
        <w:softHyphen/>
        <w:t>-8BEN,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Heading4"/>
        <w:ind w:hanging="0" w:start="0"/>
        <w:rPr/>
      </w:pPr>
      <w:r>
        <w:rPr/>
        <w:t>Part 3.</w:t>
        <w:tab/>
        <w:t>Agreement to Deliver Documents</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ind w:firstLine="720" w:start="720" w:end="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uppressAutoHyphens w:val="true"/>
        <w:spacing w:lineRule="exact" w:line="240" w:before="240" w:after="0"/>
        <w:ind w:hanging="720" w:start="720" w:end="0"/>
        <w:jc w:val="both"/>
        <w:rPr>
          <w:sz w:val="22"/>
          <w:szCs w:val="22"/>
        </w:rPr>
      </w:pPr>
      <w:r>
        <w:rPr>
          <w:sz w:val="22"/>
          <w:szCs w:val="22"/>
        </w:rPr>
        <w:t>(i)</w:t>
        <w:tab/>
        <w:t>Party B agrees to complete (accurately and in a manner reasonably satisfactory to Party A), execute, and deliver to Party A a United States Internal Revenue Service Form W</w:t>
        <w:noBreakHyphen/>
        <w:t>8BEN, or any successor form, with respect to Transactions not identified pursuant to clause (b)(ii)(1) of Part 2,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660" w:start="720" w:end="0"/>
        <w:jc w:val="both"/>
        <w:rPr>
          <w:sz w:val="22"/>
          <w:szCs w:val="22"/>
        </w:rPr>
      </w:pPr>
      <w:r>
        <w:rPr>
          <w:sz w:val="22"/>
          <w:szCs w:val="22"/>
        </w:rPr>
        <w:t>(ii)</w:t>
        <w:tab/>
        <w:t>Party B agrees to complete (accurately and in a manner reasonably satisfactory to Party A), execute, and deliver to Party A in duplicate a United States Internal Revenue Service Form W</w:t>
        <w:noBreakHyphen/>
        <w:t>8ECI, or any successor form, with respect to Transactions identified pursuant to clause (b)(ii)(1) of Part 2, (i) before the first Scheduled Payment Date under this Agreement, (ii) before the first Scheduled Payment Date in each third successive taxable year of Party B, (iii)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b/>
          <w:bCs/>
          <w:sz w:val="22"/>
          <w:szCs w:val="22"/>
        </w:rPr>
      </w:pPr>
      <w:r>
        <w:rPr>
          <w:b/>
          <w:bCs/>
          <w:sz w:val="22"/>
          <w:szCs w:val="22"/>
        </w:rPr>
      </w: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hanging="720" w:start="720" w:end="0"/>
        <w:jc w:val="both"/>
        <w:rPr>
          <w:sz w:val="22"/>
          <w:szCs w:val="22"/>
        </w:rPr>
      </w:pPr>
      <w:r>
        <w:rPr>
          <w:sz w:val="22"/>
          <w:szCs w:val="22"/>
        </w:rPr>
        <w:t>(i)</w:t>
        <w:tab/>
        <w:t>Party B agrees to complete (accurately and in a manner reasonably satisfactory to Party A), execute, and deliver to Party A in duplicate a United States Internal Revenue Service Form W</w:t>
        <w:noBreakHyphen/>
        <w:t>8ECI, or any successor form, with respect to Transactions identified pursuant to clause (b)(ii)(1) of Part 2, (i) before the first Scheduled Payment Date under this Agreement, (ii) before the first Scheduled Payment Date of each third successive taxable year of Party B, (iii) promptly upon reasonable demand by Party A, and (iv) promptly upon learning that any such form previously provided by Party B has become obsolete or incorrect.</w:t>
      </w:r>
    </w:p>
    <w:p>
      <w:pPr>
        <w:pStyle w:val="Normal"/>
        <w:keepNext w:val="true"/>
        <w:suppressAutoHyphens w:val="true"/>
        <w:spacing w:lineRule="exact" w:line="240" w:before="240" w:after="0"/>
        <w:ind w:hanging="720" w:start="720" w:end="0"/>
        <w:jc w:val="both"/>
        <w:rPr>
          <w:rStyle w:val="FootnoteCharacters"/>
          <w:sz w:val="22"/>
          <w:szCs w:val="22"/>
        </w:rPr>
      </w:pPr>
      <w:r>
        <w:rPr>
          <w:sz w:val="22"/>
          <w:szCs w:val="22"/>
        </w:rPr>
        <w:t>(ii)</w:t>
        <w:tab/>
        <w:t>Party B agrees to complete (accurately and in a manner reasonably satisfactory to Party A), execute, and deliver to Party A a United States Internal Revenue Service Form W</w:t>
        <w:noBreakHyphen/>
        <w:t xml:space="preserve">8BEN, or any successor form, with respect to Transactions </w:t>
      </w:r>
      <w:r>
        <w:rPr>
          <w:sz w:val="22"/>
          <w:szCs w:val="22"/>
          <w:u w:val="single"/>
        </w:rPr>
        <w:t>not</w:t>
      </w:r>
      <w:r>
        <w:rPr>
          <w:sz w:val="22"/>
          <w:szCs w:val="22"/>
        </w:rPr>
        <w:t xml:space="preserve"> identified pursuant to clause (b)(ii)(1) of Part 2, (i) before the first Scheduled Payment Date under this Agreement, (ii) before December 31st of each third succeeding calendar year, (iii) promptly upon reasonable demand by Party A, and (iv) promptly upon learning that any such form previously provided by Party B has become obsolete or incorrect.</w:t>
      </w:r>
    </w:p>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rStyle w:val="FootnoteCharacters"/>
          <w:sz w:val="22"/>
          <w:szCs w:val="22"/>
        </w:rPr>
      </w:pPr>
      <w:r>
        <w:rPr/>
      </w: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BodyTextIndent"/>
        <w:keepNext w:val="true"/>
        <w:suppressAutoHyphens w:val="true"/>
        <w:rPr/>
      </w:pPr>
      <w:r>
        <w:rPr/>
        <w:t>Party B agrees to complete (accurately and in a manner reasonably satisfactory to Party A), execute and deliver to Party A a United States Internal Revenue Form W</w:t>
        <w:noBreakHyphen/>
        <w:t>8BEN, or any successor form, (i) before the first Scheduled Payment Date under this Agreement, (ii) before December 31st of each third succeeding calendar year, (iii) promptly upon reasonable demand by Party A, and (iv) promptly upon learning that any such form previously provided by Party B has become obsolete or incorrect.</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2"/>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start="720" w:end="0"/>
        <w:jc w:val="both"/>
        <w:rPr>
          <w:sz w:val="22"/>
          <w:szCs w:val="22"/>
        </w:rPr>
      </w:pPr>
      <w:r>
        <w:rPr>
          <w:sz w:val="22"/>
          <w:szCs w:val="22"/>
        </w:rPr>
        <w:t>Party B agrees to complete (accurately and in a manner reasonably satisfactory to Party A), execute, and deliver to Party A a United States Internal Revenue Service Form W</w:t>
        <w:noBreakHyphen/>
        <w:t>8EXP, or any successor form, (i) Before the first Scheduled Payment Date under this Agreement, before December 31st of each third successive calendar year,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t>Form ISDAEXH1.doc</w:t>
      </w:r>
    </w:p>
    <w:p>
      <w:pPr>
        <w:pStyle w:val="Justified"/>
        <w:spacing w:lineRule="exact" w:line="240" w:before="0" w:after="0"/>
        <w:rPr>
          <w:rFonts w:ascii="Times New Roman" w:hAnsi="Times New Roman" w:cs="Times New Roman"/>
          <w:b/>
          <w:bCs/>
        </w:rPr>
      </w:pPr>
      <w:r>
        <w:rPr>
          <w:rFonts w:cs="Times New Roman" w:ascii="Times New Roman" w:hAnsi="Times New Roman"/>
        </w:rPr>
        <w:t>FORM DATE 11/6/96</w:t>
      </w:r>
    </w:p>
    <w:p>
      <w:pPr>
        <w:pStyle w:val="Normal"/>
        <w:rPr>
          <w:rFonts w:ascii="Times New Roman" w:hAnsi="Times New Roman" w:cs="Times New Roman"/>
          <w:b/>
          <w:bCs/>
          <w:sz w:val="22"/>
          <w:szCs w:val="22"/>
        </w:rPr>
      </w:pPr>
      <w:r>
        <w:rPr>
          <w:rFonts w:cs="Times New Roman"/>
          <w:b/>
          <w:bCs/>
          <w:sz w:val="22"/>
          <w:szCs w:val="22"/>
        </w:rPr>
      </w:r>
    </w:p>
    <w:p>
      <w:pPr>
        <w:pStyle w:val="Normal"/>
        <w:rPr>
          <w:sz w:val="22"/>
          <w:szCs w:val="22"/>
        </w:rPr>
      </w:pPr>
      <w:r>
        <w:rPr>
          <w:sz w:val="22"/>
          <w:szCs w:val="22"/>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/mnt/main-storage/datasets/enron-docs/doc/isda_schedule_multicurrency_01_09_01_.doc</w:t>
    </w:r>
    <w:r>
      <w:rPr>
        <w:rStyle w:val="PageNumber"/>
        <w:sz w:val="16"/>
        <w:szCs w:val="16"/>
      </w:rPr>
      <w:fldChar w:fldCharType="end"/>
    </w:r>
    <w:r>
      <mc:AlternateContent>
        <mc:Choice Requires="wps">
          <w:drawing>
            <wp:anchor behindDoc="0" distT="0" distB="0" distL="0" distR="0" simplePos="0" locked="0" layoutInCell="0" allowOverlap="1" relativeHeight="29">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rPr>
        <w:t>?</w:t>
      </w: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t xml:space="preserve"> </w:t>
      </w:r>
      <w:r>
        <w:rPr>
          <w:sz w:val="18"/>
          <w:szCs w:val="18"/>
        </w:rPr>
        <w:t>Use for Argentine counterparties</w:t>
      </w:r>
    </w:p>
  </w:footnote>
  <w:footnote w:id="4">
    <w:p>
      <w:pPr>
        <w:pStyle w:val="FootnoteText"/>
        <w:rPr/>
      </w:pPr>
      <w:r>
        <w:rPr>
          <w:rStyle w:val="FootnoteCharacters"/>
        </w:rPr>
        <w:footnoteRef/>
      </w:r>
      <w:r>
        <w:rPr/>
        <w:t xml:space="preserve"> </w:t>
      </w:r>
      <w:r>
        <w:rPr>
          <w:sz w:val="18"/>
          <w:szCs w:val="18"/>
        </w:rPr>
        <w:t>Use for Canadian counterparties</w:t>
      </w:r>
    </w:p>
  </w:footnote>
  <w:footnote w:id="5">
    <w:p>
      <w:pPr>
        <w:pStyle w:val="FootnoteText"/>
        <w:rPr/>
      </w:pPr>
      <w:r>
        <w:rPr>
          <w:rStyle w:val="FootnoteCharacters"/>
        </w:rPr>
        <w:footnoteRef/>
      </w:r>
      <w:r>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t xml:space="preserve"> </w:t>
      </w:r>
      <w:r>
        <w:rPr>
          <w:sz w:val="18"/>
          <w:szCs w:val="18"/>
        </w:rPr>
        <w:t>Insert if no Credit Support Annex</w:t>
      </w:r>
    </w:p>
  </w:footnote>
  <w:footnote w:id="20">
    <w:p>
      <w:pPr>
        <w:pStyle w:val="FootnoteText"/>
        <w:rPr/>
      </w:pPr>
      <w:r>
        <w:rPr>
          <w:rStyle w:val="FootnoteCharacters"/>
        </w:rPr>
        <w:footnoteRef/>
      </w:r>
      <w:r>
        <w:rPr/>
        <w:t xml:space="preserve"> </w:t>
      </w:r>
      <w:r>
        <w:rPr>
          <w:sz w:val="18"/>
          <w:szCs w:val="18"/>
        </w:rPr>
        <w:t>Insert if there is a Credit Support Annex</w:t>
      </w:r>
    </w:p>
  </w:footnote>
  <w:footnote w:id="21">
    <w:p>
      <w:pPr>
        <w:pStyle w:val="FootnoteText"/>
        <w:rPr/>
      </w:pPr>
      <w:r>
        <w:rPr>
          <w:rStyle w:val="FootnoteCharacters"/>
        </w:rPr>
        <w:footnoteRef/>
      </w:r>
      <w:r>
        <w:rPr/>
        <w:t xml:space="preserve"> </w:t>
      </w:r>
      <w:r>
        <w:rPr>
          <w:sz w:val="18"/>
          <w:szCs w:val="18"/>
        </w:rPr>
        <w:t>Consult credit as to which option to choose</w:t>
      </w:r>
    </w:p>
  </w:footnote>
  <w:footnote w:id="22">
    <w:p>
      <w:pPr>
        <w:pStyle w:val="FootnoteText"/>
        <w:rPr/>
      </w:pPr>
      <w:r>
        <w:rPr>
          <w:rStyle w:val="FootnoteCharacters"/>
        </w:rPr>
        <w:footnoteRef/>
      </w:r>
      <w:r>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t xml:space="preserve"> </w:t>
      </w:r>
      <w:r>
        <w:rPr>
          <w:sz w:val="18"/>
          <w:szCs w:val="18"/>
        </w:rPr>
        <w:t>Insert for ECC/Canadian counterparty deals</w:t>
      </w:r>
    </w:p>
  </w:footnote>
  <w:footnote w:id="29">
    <w:p>
      <w:pPr>
        <w:pStyle w:val="FootnoteText"/>
        <w:rPr/>
      </w:pPr>
      <w:r>
        <w:rPr>
          <w:rStyle w:val="FootnoteCharacters"/>
        </w:rPr>
        <w:footnoteRef/>
      </w:r>
      <w:r>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t xml:space="preserve"> </w:t>
      </w:r>
      <w:r>
        <w:rPr>
          <w:sz w:val="18"/>
          <w:szCs w:val="18"/>
        </w:rPr>
        <w:t>Insert for hedge funds</w:t>
      </w:r>
    </w:p>
  </w:footnote>
  <w:footnote w:id="36">
    <w:p>
      <w:pPr>
        <w:pStyle w:val="FootnoteText"/>
        <w:widowControl/>
        <w:rPr/>
      </w:pPr>
      <w:r>
        <w:rPr>
          <w:rStyle w:val="FootnoteCharacters"/>
        </w:rPr>
        <w:footnoteRef/>
      </w:r>
      <w:r>
        <w:rPr/>
        <w:t xml:space="preserve"> </w:t>
      </w:r>
      <w:r>
        <w:rPr>
          <w:sz w:val="18"/>
          <w:szCs w:val="18"/>
        </w:rPr>
        <w:t>Insert for Mexican counterparties</w:t>
      </w:r>
    </w:p>
  </w:footnote>
  <w:footnote w:id="37">
    <w:p>
      <w:pPr>
        <w:pStyle w:val="FootnoteText"/>
        <w:widowControl/>
        <w:rPr/>
      </w:pPr>
      <w:r>
        <w:rPr>
          <w:rStyle w:val="FootnoteCharacters"/>
        </w:rPr>
        <w:footnoteRef/>
      </w:r>
      <w:r>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t xml:space="preserve"> </w:t>
      </w:r>
      <w:r>
        <w:rPr>
          <w:sz w:val="18"/>
          <w:szCs w:val="18"/>
        </w:rPr>
        <w:t>Insert for hedge funds</w:t>
      </w:r>
    </w:p>
  </w:footnote>
  <w:footnote w:id="42">
    <w:p>
      <w:pPr>
        <w:pStyle w:val="FootnoteText"/>
        <w:rPr/>
      </w:pPr>
      <w:r>
        <w:rPr>
          <w:rStyle w:val="FootnoteCharacters"/>
        </w:rPr>
        <w:footnoteRef/>
      </w:r>
      <w:r>
        <w:rPr/>
        <w:t xml:space="preserve"> </w:t>
      </w:r>
      <w:r>
        <w:rPr>
          <w:sz w:val="18"/>
        </w:rPr>
        <w:t>Insert for hedge funds if Credit requests such account statements</w:t>
      </w:r>
    </w:p>
  </w:footnote>
  <w:footnote w:id="43">
    <w:p>
      <w:pPr>
        <w:pStyle w:val="FootnoteText"/>
        <w:rPr/>
      </w:pPr>
      <w:r>
        <w:rPr>
          <w:rStyle w:val="FootnoteCharacters"/>
        </w:rPr>
        <w:footnoteRef/>
      </w:r>
      <w:r>
        <w:rPr/>
        <w:t xml:space="preserve"> </w:t>
      </w:r>
      <w:r>
        <w:rPr>
          <w:sz w:val="20"/>
        </w:rPr>
        <w:t xml:space="preserve">Insert if counterparty’s MAC is tied to proved developed producing reserves. </w:t>
      </w:r>
    </w:p>
  </w:footnote>
  <w:footnote w:id="44">
    <w:p>
      <w:pPr>
        <w:pStyle w:val="FootnoteText"/>
        <w:rPr/>
      </w:pPr>
      <w:r>
        <w:rPr>
          <w:rStyle w:val="FootnoteCharacters"/>
        </w:rPr>
        <w:footnoteRef/>
      </w:r>
      <w:r>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t xml:space="preserve"> </w:t>
      </w:r>
      <w:r>
        <w:rPr>
          <w:sz w:val="18"/>
          <w:szCs w:val="18"/>
        </w:rPr>
        <w:t>Add for Mexican counterparties</w:t>
      </w:r>
    </w:p>
  </w:footnote>
  <w:footnote w:id="48">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9">
    <w:p>
      <w:pPr>
        <w:pStyle w:val="FootnoteText"/>
        <w:widowControl/>
        <w:rPr/>
      </w:pPr>
      <w:r>
        <w:rPr>
          <w:rStyle w:val="FootnoteCharacters"/>
        </w:rPr>
        <w:footnoteRef/>
      </w:r>
      <w:r>
        <w:rPr/>
        <w:t xml:space="preserve"> </w:t>
      </w:r>
      <w:r>
        <w:rPr>
          <w:sz w:val="18"/>
          <w:szCs w:val="18"/>
        </w:rPr>
        <w:t>Add for Argentine counterparties</w:t>
      </w:r>
    </w:p>
  </w:footnote>
  <w:footnote w:id="50">
    <w:p>
      <w:pPr>
        <w:pStyle w:val="FootnoteText"/>
        <w:rPr/>
      </w:pPr>
      <w:r>
        <w:rPr>
          <w:rStyle w:val="FootnoteCharacters"/>
        </w:rPr>
        <w:footnoteRef/>
      </w:r>
      <w:r>
        <w:rPr/>
        <w:t xml:space="preserve"> </w:t>
      </w:r>
      <w:r>
        <w:rPr>
          <w:sz w:val="20"/>
        </w:rPr>
        <w:t>Use the process agent provision when the agreement is between ENA and a foreign counterparty.</w:t>
      </w:r>
    </w:p>
  </w:footnote>
  <w:footnote w:id="51">
    <w:p>
      <w:pPr>
        <w:pStyle w:val="FootnoteText"/>
        <w:rPr/>
      </w:pPr>
      <w:r>
        <w:rPr>
          <w:rStyle w:val="FootnoteCharacters"/>
        </w:rPr>
        <w:footnoteRef/>
      </w:r>
      <w:r>
        <w:rPr>
          <w:sz w:val="20"/>
        </w:rPr>
        <w:t xml:space="preserve"> </w:t>
      </w:r>
      <w:r>
        <w:rPr>
          <w:sz w:val="18"/>
        </w:rPr>
        <w:t>Insert for an ECC deal</w:t>
      </w:r>
    </w:p>
  </w:footnote>
  <w:footnote w:id="52">
    <w:p>
      <w:pPr>
        <w:pStyle w:val="FootnoteText"/>
        <w:rPr/>
      </w:pPr>
      <w:r>
        <w:rPr>
          <w:rStyle w:val="FootnoteCharacters"/>
        </w:rPr>
        <w:footnoteRef/>
      </w:r>
      <w:r>
        <w:rPr/>
        <w:t xml:space="preserve"> </w:t>
      </w:r>
      <w:r>
        <w:rPr>
          <w:sz w:val="18"/>
          <w:szCs w:val="18"/>
        </w:rPr>
        <w:t>Insert for governmental entities and renumber paragraphs that follow</w:t>
      </w:r>
    </w:p>
  </w:footnote>
  <w:footnote w:id="53">
    <w:p>
      <w:pPr>
        <w:pStyle w:val="FootnoteText"/>
        <w:rPr/>
      </w:pPr>
      <w:r>
        <w:rPr>
          <w:rStyle w:val="FootnoteCharacters"/>
        </w:rPr>
        <w:footnoteRef/>
      </w:r>
      <w:r>
        <w:rPr/>
        <w:t xml:space="preserve"> </w:t>
      </w:r>
      <w:r>
        <w:rPr>
          <w:sz w:val="18"/>
          <w:szCs w:val="18"/>
        </w:rPr>
        <w:t>For ECC/Canadian or foreign counterparty deals -- only need subparagraphs (i) and (iii), not the Trade Option Exemption rep contained in subparagraph (ii).   Therefore, if an ECC/Canadian or foreign counterparty deal, delete subparagraph (ii) and renumber subparagraph “(iii)” as “(ii)”</w:t>
      </w:r>
    </w:p>
  </w:footnote>
  <w:footnote w:id="54">
    <w:p>
      <w:pPr>
        <w:pStyle w:val="FootnoteText"/>
        <w:widowControl/>
        <w:rPr/>
      </w:pPr>
      <w:r>
        <w:rPr>
          <w:rStyle w:val="FootnoteCharacters"/>
        </w:rPr>
        <w:footnoteRef/>
      </w:r>
      <w:r>
        <w:rPr>
          <w:sz w:val="18"/>
          <w:szCs w:val="18"/>
        </w:rPr>
        <w:t xml:space="preserve"> </w:t>
      </w:r>
      <w:r>
        <w:rPr>
          <w:sz w:val="18"/>
          <w:szCs w:val="18"/>
        </w:rPr>
        <w:t>Do not insert the “Eligible Swap Participant” rep for ECC/Canadian or foreign counterparty deals.  Delete, then renumber the paragraphs that follow.  Also, renumber the lead in paragraph, if necessary.</w:t>
      </w:r>
    </w:p>
  </w:footnote>
  <w:footnote w:id="55">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6">
    <w:p>
      <w:pPr>
        <w:pStyle w:val="FootnoteText"/>
        <w:rPr/>
      </w:pPr>
      <w:r>
        <w:rPr>
          <w:rStyle w:val="FootnoteCharacters"/>
        </w:rPr>
        <w:footnoteRef/>
      </w:r>
      <w:r>
        <w:rPr/>
        <w:t xml:space="preserve"> </w:t>
      </w:r>
      <w:r>
        <w:rPr>
          <w:sz w:val="18"/>
          <w:szCs w:val="18"/>
        </w:rPr>
        <w:t>Insert for governmental entities</w:t>
      </w:r>
    </w:p>
  </w:footnote>
  <w:footnote w:id="57">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8">
    <w:p>
      <w:pPr>
        <w:pStyle w:val="FootnoteText"/>
        <w:rPr/>
      </w:pPr>
      <w:r>
        <w:rPr>
          <w:rStyle w:val="FootnoteCharacters"/>
        </w:rPr>
        <w:footnoteRef/>
      </w:r>
      <w:r>
        <w:rPr>
          <w:sz w:val="18"/>
          <w:szCs w:val="18"/>
        </w:rPr>
        <w:t xml:space="preserve"> </w:t>
      </w:r>
      <w:r>
        <w:rPr>
          <w:sz w:val="18"/>
          <w:szCs w:val="18"/>
        </w:rPr>
        <w:t>Insert for U.S. insurance company</w:t>
      </w:r>
    </w:p>
  </w:footnote>
  <w:footnote w:id="59">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0">
    <w:p>
      <w:pPr>
        <w:pStyle w:val="FootnoteText"/>
        <w:widowControl/>
        <w:rPr/>
      </w:pPr>
      <w:r>
        <w:rPr>
          <w:rStyle w:val="FootnoteCharacters"/>
        </w:rPr>
        <w:footnoteRef/>
      </w:r>
      <w:r>
        <w:rPr>
          <w:sz w:val="18"/>
          <w:szCs w:val="18"/>
        </w:rPr>
        <w:t xml:space="preserve"> </w:t>
      </w:r>
      <w:r>
        <w:rPr>
          <w:sz w:val="18"/>
          <w:szCs w:val="18"/>
        </w:rPr>
        <w:t>Insert for hedge funds</w:t>
      </w:r>
    </w:p>
  </w:footnote>
  <w:footnote w:id="61">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2">
    <w:p>
      <w:pPr>
        <w:pStyle w:val="FootnoteText"/>
        <w:widowControl/>
        <w:rPr/>
      </w:pPr>
      <w:r>
        <w:rPr>
          <w:rStyle w:val="FootnoteCharacters"/>
        </w:rPr>
        <w:footnoteRef/>
      </w:r>
      <w:r>
        <w:rPr/>
        <w:t xml:space="preserve"> </w:t>
      </w:r>
      <w:r>
        <w:rPr>
          <w:sz w:val="18"/>
          <w:szCs w:val="18"/>
        </w:rPr>
        <w:t>Insert for Mexican counterparties</w:t>
      </w:r>
    </w:p>
  </w:footnote>
  <w:footnote w:id="63">
    <w:p>
      <w:pPr>
        <w:pStyle w:val="FootnoteText"/>
        <w:widowControl/>
        <w:rPr/>
      </w:pPr>
      <w:r>
        <w:rPr>
          <w:rStyle w:val="FootnoteCharacters"/>
        </w:rPr>
        <w:footnoteRef/>
      </w:r>
      <w:r>
        <w:rPr/>
        <w:t xml:space="preserve"> </w:t>
      </w:r>
      <w:r>
        <w:rPr>
          <w:sz w:val="18"/>
          <w:szCs w:val="18"/>
        </w:rPr>
        <w:t>Add for Argentine counterparties</w:t>
      </w:r>
    </w:p>
  </w:footnote>
  <w:footnote w:id="64">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5">
    <w:p>
      <w:pPr>
        <w:pStyle w:val="FootnoteText"/>
        <w:rPr/>
      </w:pPr>
      <w:r>
        <w:rPr>
          <w:rStyle w:val="FootnoteCharacters"/>
        </w:rPr>
        <w:footnoteRef/>
      </w:r>
      <w:r>
        <w:rPr/>
        <w:t xml:space="preserve"> </w:t>
      </w:r>
      <w:r>
        <w:rPr>
          <w:sz w:val="18"/>
          <w:szCs w:val="18"/>
        </w:rPr>
        <w:t>Insert when both parties have a Credit Support Provider and Transfer is to be bilateral</w:t>
      </w:r>
    </w:p>
  </w:footnote>
  <w:footnote w:id="66">
    <w:p>
      <w:pPr>
        <w:pStyle w:val="FootnoteText"/>
        <w:rPr/>
      </w:pPr>
      <w:r>
        <w:rPr>
          <w:rStyle w:val="FootnoteCharacters"/>
        </w:rPr>
        <w:footnoteRef/>
      </w:r>
      <w:r>
        <w:rPr/>
        <w:t xml:space="preserve"> </w:t>
      </w:r>
      <w:r>
        <w:rPr>
          <w:sz w:val="18"/>
          <w:szCs w:val="18"/>
        </w:rPr>
        <w:t>Insert the parties Credit Support Provider</w:t>
      </w:r>
    </w:p>
  </w:footnote>
  <w:footnote w:id="67">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8">
    <w:p>
      <w:pPr>
        <w:pStyle w:val="FootnoteText"/>
        <w:rPr/>
      </w:pPr>
      <w:r>
        <w:rPr>
          <w:rStyle w:val="FootnoteCharacters"/>
        </w:rPr>
        <w:footnoteRef/>
      </w:r>
      <w:r>
        <w:rPr/>
        <w:t xml:space="preserve"> </w:t>
      </w:r>
      <w:r>
        <w:rPr>
          <w:sz w:val="18"/>
          <w:szCs w:val="18"/>
        </w:rPr>
        <w:t>Insert when Transfer bilateral</w:t>
      </w:r>
    </w:p>
  </w:footnote>
  <w:footnote w:id="69">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0">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1">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2">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3">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r>
        <w:rPr>
          <w:sz w:val="16"/>
          <w:szCs w:val="16"/>
        </w:rPr>
        <w:t>.</w:t>
      </w:r>
    </w:p>
  </w:footnote>
  <w:footnote w:id="74">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5">
    <w:p>
      <w:pPr>
        <w:pStyle w:val="FootnoteText"/>
        <w:rPr/>
      </w:pPr>
      <w:r>
        <w:rPr>
          <w:rStyle w:val="FootnoteCharacters"/>
        </w:rPr>
        <w:footnoteRef/>
      </w:r>
      <w:r>
        <w:rPr>
          <w:sz w:val="18"/>
          <w:szCs w:val="18"/>
        </w:rPr>
        <w:t xml:space="preserve"> </w:t>
      </w:r>
      <w:r>
        <w:rPr>
          <w:sz w:val="18"/>
          <w:szCs w:val="18"/>
        </w:rPr>
        <w:t>Insert for governmental entities</w:t>
      </w:r>
    </w:p>
  </w:footnote>
  <w:footnote w:id="76">
    <w:p>
      <w:pPr>
        <w:pStyle w:val="FootnoteText"/>
        <w:rPr/>
      </w:pPr>
      <w:r>
        <w:rPr>
          <w:rStyle w:val="FootnoteCharacters"/>
        </w:rPr>
        <w:footnoteRef/>
      </w:r>
      <w:r>
        <w:rPr/>
        <w:t xml:space="preserve"> </w:t>
      </w:r>
      <w:r>
        <w:rPr>
          <w:sz w:val="18"/>
          <w:szCs w:val="18"/>
        </w:rPr>
        <w:t>Insert appropriate definitions for hedge fund counterparties</w:t>
      </w:r>
    </w:p>
  </w:footnote>
  <w:footnote w:id="77">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8">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79">
    <w:p>
      <w:pPr>
        <w:pStyle w:val="FootnoteText"/>
        <w:widowControl/>
        <w:rPr/>
      </w:pPr>
      <w:r>
        <w:rPr>
          <w:rStyle w:val="FootnoteCharacters"/>
        </w:rPr>
        <w:footnoteRef/>
      </w:r>
      <w:r>
        <w:rPr>
          <w:sz w:val="16"/>
          <w:szCs w:val="16"/>
        </w:rPr>
        <w:t xml:space="preserve"> </w:t>
      </w:r>
      <w:r>
        <w:rPr>
          <w:sz w:val="18"/>
          <w:szCs w:val="18"/>
        </w:rPr>
        <w:t>Canadian agreements may require two signatures.</w:t>
      </w:r>
    </w:p>
  </w:footnote>
  <w:footnote w:id="80">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1">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2">
    <w:p>
      <w:pPr>
        <w:pStyle w:val="FootnoteText"/>
        <w:rPr/>
      </w:pPr>
      <w:r>
        <w:rPr>
          <w:rStyle w:val="FootnoteCharacters"/>
        </w:rPr>
        <w:footnoteRef/>
      </w:r>
      <w:r>
        <w:rPr/>
        <w:t xml:space="preserve"> </w:t>
      </w:r>
      <w:r>
        <w:rPr>
          <w:sz w:val="18"/>
          <w:szCs w:val="18"/>
        </w:rPr>
        <w:t>Use for governmental entities</w:t>
      </w:r>
    </w:p>
  </w:footnote>
  <w:footnote w:id="83">
    <w:p>
      <w:pPr>
        <w:pStyle w:val="FootnoteText"/>
        <w:widowControl/>
        <w:rPr/>
      </w:pPr>
      <w:r>
        <w:rPr>
          <w:rStyle w:val="FootnoteCharacters"/>
        </w:rPr>
        <w:footnoteRef/>
      </w:r>
      <w:r>
        <w:rPr/>
        <w:t xml:space="preserve"> </w:t>
      </w:r>
      <w:r>
        <w:rPr>
          <w:sz w:val="18"/>
          <w:szCs w:val="18"/>
        </w:rPr>
        <w:t>Use for Mexican and foreign counterparties or for insurance and reinsurance counterparties (other than financial institutions)</w:t>
      </w:r>
    </w:p>
  </w:footnote>
  <w:footnote w:id="84">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5">
    <w:p>
      <w:pPr>
        <w:pStyle w:val="FootnoteText"/>
        <w:widowControl/>
        <w:ind w:hanging="708" w:start="708" w:end="0"/>
        <w:rPr/>
      </w:pPr>
      <w:r>
        <w:rPr>
          <w:rStyle w:val="FootnoteCharacters"/>
        </w:rPr>
        <w:footnoteRef/>
      </w:r>
      <w:r>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6">
    <w:p>
      <w:pPr>
        <w:pStyle w:val="FootnoteText"/>
        <w:rPr/>
      </w:pPr>
      <w:r>
        <w:rPr>
          <w:rStyle w:val="FootnoteCharacters"/>
        </w:rPr>
        <w:footnoteRef/>
      </w:r>
      <w:r>
        <w:rPr/>
        <w:t xml:space="preserve"> </w:t>
      </w:r>
      <w:r>
        <w:rPr>
          <w:sz w:val="18"/>
          <w:szCs w:val="18"/>
        </w:rPr>
        <w:t>As of 9/29/99 the reference is to 4(i)</w:t>
      </w:r>
    </w:p>
  </w:footnote>
  <w:footnote w:id="87">
    <w:p>
      <w:pPr>
        <w:pStyle w:val="FootnoteText"/>
        <w:rPr/>
      </w:pPr>
      <w:r>
        <w:rPr>
          <w:rStyle w:val="FootnoteCharacters"/>
        </w:rPr>
        <w:footnoteRef/>
      </w:r>
      <w:r>
        <w:rPr/>
        <w:t xml:space="preserve"> </w:t>
      </w:r>
      <w:r>
        <w:rPr>
          <w:sz w:val="18"/>
          <w:szCs w:val="18"/>
        </w:rPr>
        <w:t>If applicable</w:t>
      </w:r>
    </w:p>
  </w:footnote>
  <w:footnote w:id="88">
    <w:p>
      <w:pPr>
        <w:pStyle w:val="FootnoteText"/>
        <w:rPr/>
      </w:pPr>
      <w:r>
        <w:rPr>
          <w:rStyle w:val="FootnoteCharacters"/>
        </w:rPr>
        <w:footnoteRef/>
      </w:r>
      <w:r>
        <w:rPr>
          <w:sz w:val="18"/>
          <w:szCs w:val="18"/>
        </w:rPr>
        <w:t xml:space="preserve"> </w:t>
      </w:r>
      <w:r>
        <w:rPr>
          <w:sz w:val="18"/>
          <w:szCs w:val="18"/>
        </w:rPr>
        <w:t>If applicable</w:t>
      </w:r>
    </w:p>
  </w:footnote>
  <w:footnote w:id="89">
    <w:p>
      <w:pPr>
        <w:pStyle w:val="FootnoteText"/>
        <w:rPr/>
      </w:pPr>
      <w:r>
        <w:rPr>
          <w:rStyle w:val="FootnoteCharacters"/>
        </w:rPr>
        <w:footnoteRef/>
      </w:r>
      <w:r>
        <w:rPr>
          <w:sz w:val="18"/>
          <w:szCs w:val="18"/>
        </w:rPr>
        <w:t xml:space="preserve"> </w:t>
      </w:r>
      <w:r>
        <w:rPr>
          <w:sz w:val="18"/>
          <w:szCs w:val="18"/>
        </w:rPr>
        <w:t>Use for governmental entities</w:t>
      </w:r>
    </w:p>
  </w:footnote>
  <w:footnote w:id="90">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1">
    <w:p>
      <w:pPr>
        <w:pStyle w:val="FootnoteText"/>
        <w:rPr/>
      </w:pPr>
      <w:r>
        <w:rPr>
          <w:rStyle w:val="FootnoteCharacters"/>
        </w:rPr>
        <w:footnoteRef/>
      </w:r>
      <w:r>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2">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2000-11-07T19:07:00Z</dcterms:created>
  <dc:creator>mheard</dc:creator>
  <dc:description/>
  <dc:language>en-CA</dc:language>
  <cp:lastModifiedBy>sbaile2</cp:lastModifiedBy>
  <cp:lastPrinted>2000-10-04T16:43:00Z</cp:lastPrinted>
  <dcterms:modified xsi:type="dcterms:W3CDTF">2001-02-01T12:39:00Z</dcterms:modified>
  <cp:revision>11</cp:revision>
  <dc:subject/>
  <dc:title>ISDA Multicurrency Agreement</dc:title>
</cp:coreProperties>
</file>