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Heading6"/>
        <w:ind w:hanging="0" w:start="0"/>
        <w:rPr/>
      </w:pPr>
      <w:r>
        <w:rPr/>
        <w:t>DRAFT OF 09/10/2001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napToGrid w:val="false"/>
              <w:jc w:val="center"/>
              <w:rPr>
                <w:b/>
                <w:bCs/>
                <w:color w:val="800080"/>
                <w:sz w:val="22"/>
                <w:szCs w:val="22"/>
              </w:rPr>
            </w:pPr>
            <w:r>
              <w:rPr>
                <w:b/>
                <w:bCs/>
                <w:color w:val="800080"/>
                <w:sz w:val="22"/>
                <w:szCs w:val="22"/>
              </w:rPr>
            </w:r>
          </w:p>
          <w:p>
            <w:pPr>
              <w:pStyle w:val="Normal"/>
              <w:tabs>
                <w:tab w:val="clear" w:pos="720"/>
                <w:tab w:val="center" w:pos="5760" w:leader="none"/>
              </w:tabs>
              <w:jc w:val="center"/>
              <w:rPr>
                <w:b/>
                <w:bCs/>
                <w:color w:val="800080"/>
                <w:sz w:val="22"/>
                <w:szCs w:val="22"/>
              </w:rPr>
            </w:pPr>
            <w:r>
              <w:rPr>
                <w:b/>
                <w:bCs/>
                <w:color w:val="80008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t>
      </w:r>
      <w:r>
        <w:rPr>
          <w:color w:val="FF0000"/>
          <w:sz w:val="22"/>
          <w:szCs w:val="22"/>
        </w:rPr>
        <w:t>[</w:t>
      </w:r>
      <w:r>
        <w:rPr>
          <w:sz w:val="22"/>
          <w:szCs w:val="22"/>
        </w:rPr>
        <w:t>with respect to Party A’s Credit Support Provider, U.S. $100,000,000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FF0000"/>
          <w:sz w:val="22"/>
          <w:szCs w:val="22"/>
        </w:rPr>
        <w: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r>
        <w:rPr>
          <w:sz w:val="22"/>
          <w:szCs w:val="22"/>
        </w:rPr>
        <w:t xml:space="preserve"> </w:t>
      </w:r>
      <w:r>
        <w:rPr>
          <w:color w:val="800000"/>
          <w:sz w:val="22"/>
          <w:szCs w:val="22"/>
        </w:rPr>
        <w:t>in any 12 month period.</w:t>
      </w:r>
    </w:p>
    <w:p>
      <w:pPr>
        <w:pStyle w:val="Normal"/>
        <w:ind w:start="720" w:end="0"/>
        <w:jc w:val="both"/>
        <w:rPr>
          <w:color w:val="800000"/>
          <w:sz w:val="22"/>
          <w:szCs w:val="22"/>
        </w:rPr>
      </w:pPr>
      <w:r>
        <w:rPr>
          <w:color w:val="800000"/>
          <w:sz w:val="22"/>
          <w:szCs w:val="22"/>
        </w:rPr>
      </w:r>
    </w:p>
    <w:p>
      <w:pPr>
        <w:pStyle w:val="Normal"/>
        <w:ind w:start="720" w:end="0"/>
        <w:jc w:val="both"/>
        <w:rPr>
          <w:color w:val="800000"/>
          <w:sz w:val="22"/>
          <w:szCs w:val="22"/>
        </w:rPr>
      </w:pPr>
      <w:r>
        <w:rPr>
          <w:color w:val="800000"/>
          <w:sz w:val="22"/>
          <w:szCs w:val="22"/>
        </w:rPr>
        <w:t>(b)</w:t>
        <w:tab/>
        <w:t>If the ratio of its Liabilities to Net Asset Value is more than __ to __.</w:t>
      </w:r>
    </w:p>
    <w:p>
      <w:pPr>
        <w:pStyle w:val="Normal"/>
        <w:ind w:start="720" w:end="0"/>
        <w:jc w:val="both"/>
        <w:rPr>
          <w:color w:val="800000"/>
          <w:sz w:val="22"/>
          <w:szCs w:val="22"/>
        </w:rPr>
      </w:pPr>
      <w:r>
        <w:rPr>
          <w:color w:val="800000"/>
          <w:sz w:val="22"/>
          <w:szCs w:val="22"/>
        </w:rPr>
      </w:r>
    </w:p>
    <w:p>
      <w:pPr>
        <w:pStyle w:val="Normal"/>
        <w:ind w:start="720" w:end="0"/>
        <w:jc w:val="both"/>
        <w:rPr>
          <w:color w:val="993300"/>
          <w:sz w:val="22"/>
          <w:szCs w:val="22"/>
        </w:rPr>
      </w:pPr>
      <w:r>
        <w:rPr>
          <w:color w:val="800000"/>
          <w:sz w:val="22"/>
          <w:szCs w:val="22"/>
        </w:rPr>
        <w:t>(c)</w:t>
        <w:tab/>
        <w:t>If its Net Asset Value falls below U.S.$_____________.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800000"/>
          <w:sz w:val="22"/>
          <w:szCs w:val="22"/>
        </w:rPr>
      </w:pPr>
      <w:r>
        <w:rPr>
          <w:color w:val="800000"/>
          <w:sz w:val="22"/>
          <w:szCs w:val="22"/>
        </w:rPr>
        <w:t>(d)</w:t>
        <w:tab/>
        <w:t>The Manager ceases to be either __________ or __________and an alternate Manager acceptable to Party A has not assumed the responsiblities of Manager.</w:t>
      </w:r>
    </w:p>
    <w:p>
      <w:pPr>
        <w:pStyle w:val="Normal"/>
        <w:ind w:hanging="540" w:start="720" w:end="0"/>
        <w:jc w:val="both"/>
        <w:rPr>
          <w:color w:val="800000"/>
          <w:sz w:val="22"/>
          <w:szCs w:val="22"/>
        </w:rPr>
      </w:pPr>
      <w:r>
        <w:rPr>
          <w:color w:val="800000"/>
          <w:sz w:val="22"/>
          <w:szCs w:val="22"/>
        </w:rPr>
      </w:r>
    </w:p>
    <w:p>
      <w:pPr>
        <w:pStyle w:val="Normal"/>
        <w:ind w:hanging="720" w:start="1440" w:end="0"/>
        <w:jc w:val="both"/>
        <w:rPr>
          <w:color w:val="FF0000"/>
          <w:sz w:val="22"/>
          <w:szCs w:val="22"/>
        </w:rPr>
      </w:pPr>
      <w:r>
        <w:rPr>
          <w:color w:val="800000"/>
          <w:sz w:val="22"/>
          <w:szCs w:val="22"/>
        </w:rPr>
        <w:t>(e)</w:t>
        <w:tab/>
        <w:t>If the event there exists one Manager, if the Manager resigns, is terminated, or is otherwise incapacitated for a period exceeding one month.  In the event there exists more than one Manager, if for a coincident period of one month, all the Managers have resigned, been terminated, or have otherwise been incapacitiated.</w:t>
      </w:r>
      <w:r>
        <w:rPr>
          <w:color w:val="993300"/>
          <w:sz w:val="22"/>
          <w:szCs w:val="22"/>
        </w:rPr>
        <w:t>]</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0000FF"/>
              </w:rPr>
              <w:t xml:space="preserve"> </w:t>
            </w:r>
            <w:r>
              <w:rPr>
                <w:rFonts w:cs="Times New Roman" w:ascii="Times New Roman" w:hAnsi="Times New Roman"/>
                <w:color w:val="0000FF"/>
              </w:rPr>
              <w:t xml:space="preserve">Copies of Party B’s and its Credit Support Provider’s (if any) articles of incorporation and bylaws, as amended from time to time </w:t>
            </w:r>
            <w:r>
              <w:rPr>
                <w:rFonts w:cs="Times New Roman" w:ascii="Times New Roman" w:hAnsi="Times New Roman"/>
                <w:i/>
                <w:iCs/>
                <w:color w:val="0000FF"/>
              </w:rPr>
              <w:t>(escritura constitutiva y estatutos sociales vigentes)</w:t>
            </w:r>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color w:val="8000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7"/>
      </w:r>
    </w:p>
    <w:p>
      <w:pPr>
        <w:pStyle w:val="Normal"/>
        <w:ind w:start="720" w:end="0"/>
        <w:jc w:val="both"/>
        <w:rPr>
          <w:b/>
          <w:bCs/>
          <w:color w:val="FF0000"/>
          <w:sz w:val="22"/>
          <w:szCs w:val="22"/>
        </w:rPr>
      </w:pPr>
      <w:r>
        <w:rPr>
          <w:b/>
          <w:bCs/>
          <w:color w:val="FF0000"/>
          <w:sz w:val="22"/>
          <w:szCs w:val="22"/>
        </w:rPr>
      </w:r>
    </w:p>
    <w:p>
      <w:pPr>
        <w:pStyle w:val="Normal"/>
        <w:spacing w:lineRule="atLeast" w:line="240"/>
        <w:ind w:start="720" w:end="0"/>
        <w:jc w:val="both"/>
        <w:rPr/>
      </w:pPr>
      <w:r>
        <w:rPr>
          <w:rStyle w:val="FootnoteCharacters"/>
          <w:rStyle w:val="FootnoteReference"/>
          <w:b/>
          <w:bCs/>
          <w:color w:val="0000FF"/>
        </w:rPr>
        <w:footnoteReference w:id="48"/>
      </w:r>
      <w:r>
        <w:rPr>
          <w:color w:val="0000FF"/>
          <w:sz w:val="22"/>
        </w:rPr>
        <w:t xml:space="preserve">[(b) </w:t>
        <w:tab/>
      </w:r>
      <w:r>
        <w:rPr>
          <w:b/>
          <w:color w:val="0000FF"/>
          <w:sz w:val="22"/>
        </w:rPr>
        <w:t>Agreement To Arbitrate and Selection Of Arbitrators:</w:t>
      </w:r>
      <w:r>
        <w:rPr>
          <w:color w:val="0000FF"/>
          <w:sz w:val="22"/>
        </w:rPr>
        <w:t xml:space="preserve">  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spacing w:lineRule="atLeast" w:line="240"/>
        <w:ind w:start="720" w:end="0"/>
        <w:jc w:val="both"/>
        <w:rPr>
          <w:color w:val="0000FF"/>
          <w:sz w:val="22"/>
        </w:rPr>
      </w:pPr>
      <w:r>
        <w:rPr>
          <w:color w:val="0000FF"/>
          <w:sz w:val="22"/>
        </w:rPr>
      </w:r>
    </w:p>
    <w:p>
      <w:pPr>
        <w:pStyle w:val="Normal"/>
        <w:spacing w:lineRule="atLeast" w:line="240"/>
        <w:ind w:start="720" w:end="0"/>
        <w:jc w:val="both"/>
        <w:rPr/>
      </w:pPr>
      <w:r>
        <w:rPr>
          <w:b/>
          <w:color w:val="0000FF"/>
          <w:sz w:val="22"/>
        </w:rPr>
        <w:tab/>
        <w:t>Governing Law, And Authority Of The Arbitrators:</w:t>
      </w:r>
      <w:r>
        <w:rPr>
          <w:color w:val="0000FF"/>
          <w:sz w:val="22"/>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spacing w:lineRule="atLeast" w:line="240"/>
        <w:ind w:start="720" w:end="0"/>
        <w:jc w:val="both"/>
        <w:rPr>
          <w:color w:val="0000FF"/>
          <w:sz w:val="22"/>
        </w:rPr>
      </w:pPr>
      <w:r>
        <w:rPr>
          <w:color w:val="0000FF"/>
          <w:sz w:val="22"/>
        </w:rPr>
      </w:r>
    </w:p>
    <w:p>
      <w:pPr>
        <w:pStyle w:val="Normal"/>
        <w:spacing w:lineRule="atLeast" w:line="240"/>
        <w:ind w:start="720" w:end="0"/>
        <w:jc w:val="both"/>
        <w:rPr/>
      </w:pPr>
      <w:r>
        <w:rPr>
          <w:b/>
          <w:color w:val="0000FF"/>
          <w:sz w:val="22"/>
        </w:rPr>
        <w:tab/>
        <w:t>Forum and Language For The Arbitration:</w:t>
      </w:r>
      <w:r>
        <w:rPr>
          <w:color w:val="0000FF"/>
          <w:sz w:val="22"/>
        </w:rPr>
        <w:t xml:space="preserve">  The arbitration proceeding shall be conducted in Houston, Texas and the language of such proceedings shall be in English.</w:t>
      </w:r>
    </w:p>
    <w:p>
      <w:pPr>
        <w:pStyle w:val="Normal"/>
        <w:spacing w:lineRule="atLeast" w:line="240"/>
        <w:ind w:start="720" w:end="0"/>
        <w:jc w:val="both"/>
        <w:rPr>
          <w:color w:val="0000FF"/>
          <w:sz w:val="22"/>
        </w:rPr>
      </w:pPr>
      <w:r>
        <w:rPr>
          <w:color w:val="0000FF"/>
          <w:sz w:val="22"/>
        </w:rPr>
      </w:r>
    </w:p>
    <w:p>
      <w:pPr>
        <w:pStyle w:val="Normal"/>
        <w:ind w:start="720" w:end="0"/>
        <w:jc w:val="both"/>
        <w:rPr/>
      </w:pPr>
      <w:r>
        <w:rPr>
          <w:b/>
          <w:color w:val="0000FF"/>
          <w:sz w:val="22"/>
        </w:rPr>
        <w:tab/>
        <w:t>Confidentiality:</w:t>
      </w:r>
      <w:r>
        <w:rPr>
          <w:color w:val="0000FF"/>
          <w:sz w:val="22"/>
        </w:rPr>
        <w:t xml:space="preserve">  To the fullest extent permitted by law, any arbitration proceeding and the arbitrators award shall be maintained in confidence by the parties.]</w:t>
      </w:r>
    </w:p>
    <w:p>
      <w:pPr>
        <w:pStyle w:val="Normal"/>
        <w:ind w:start="720" w:end="0"/>
        <w:jc w:val="both"/>
        <w:rPr>
          <w:b/>
          <w:bCs/>
          <w:color w:val="0000FF"/>
          <w:sz w:val="22"/>
          <w:szCs w:val="22"/>
        </w:rPr>
      </w:pPr>
      <w:r>
        <w:rPr>
          <w:b/>
          <w:bCs/>
          <w:color w:val="0000FF"/>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 xml:space="preserve">Party A appoints as its Process Agent, 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                </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53"/>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4"/>
      </w:r>
      <w:r>
        <w:rPr>
          <w:color w:val="800080"/>
          <w:sz w:val="22"/>
          <w:szCs w:val="22"/>
        </w:rPr>
        <w:t>[(i)</w:t>
        <w:tab/>
      </w:r>
      <w:r>
        <w:rPr>
          <w:b/>
          <w:bCs/>
          <w:color w:val="800080"/>
          <w:sz w:val="22"/>
          <w:szCs w:val="22"/>
        </w:rPr>
        <w:t>Canadian Securities Matters.</w:t>
      </w:r>
      <w:r>
        <w:rPr>
          <w:color w:val="800080"/>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rPr>
        <w:footnoteReference w:id="55"/>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[(i)</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[_______________]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r>
        <w:rPr>
          <w:rFonts w:cs="Times New Roman" w:ascii="Times New Roman" w:hAnsi="Times New Roman"/>
          <w:color w:val="0000FF"/>
          <w:sz w:val="22"/>
          <w:szCs w:val="22"/>
          <w:u w:val="single"/>
        </w:rPr>
        <w:t xml:space="preserv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pPr>
      <w:r>
        <w:rPr>
          <w:rStyle w:val="FootnoteCharacters"/>
          <w:rStyle w:val="FootnoteReference"/>
          <w:color w:val="FF0000"/>
        </w:rPr>
        <w:footnoteReference w:id="71"/>
      </w:r>
      <w:r>
        <w:rPr>
          <w:color w:val="FF0000"/>
          <w:sz w:val="22"/>
          <w:szCs w:val="22"/>
        </w:rPr>
        <w:t>[</w:t>
      </w:r>
      <w:r>
        <w:rPr>
          <w:color w:val="000000"/>
          <w:sz w:val="22"/>
          <w:szCs w:val="22"/>
        </w:rPr>
        <w:t>(n)</w:t>
        <w:tab/>
      </w:r>
      <w:r>
        <w:rPr>
          <w:b/>
          <w:bCs/>
          <w:color w:val="000000"/>
          <w:sz w:val="22"/>
          <w:szCs w:val="22"/>
        </w:rPr>
        <w:t>Existing Agreement.</w:t>
      </w:r>
      <w:r>
        <w:rPr>
          <w:color w:val="000000"/>
          <w:sz w:val="22"/>
          <w:szCs w:val="22"/>
        </w:rPr>
        <w:t xml:space="preserve">  The Parties have entered into a Master Agreement dated as of </w:t>
      </w:r>
    </w:p>
    <w:p>
      <w:pPr>
        <w:pStyle w:val="Normal"/>
        <w:autoSpaceDE w:val="false"/>
        <w:spacing w:lineRule="atLeast" w:line="240"/>
        <w:rPr>
          <w:b/>
          <w:bCs/>
          <w:color w:val="FF0000"/>
          <w:sz w:val="22"/>
          <w:szCs w:val="22"/>
        </w:rPr>
      </w:pPr>
      <w:r>
        <w:rPr>
          <w:color w:val="000000"/>
          <w:sz w:val="22"/>
          <w:szCs w:val="22"/>
          <w:u w:val="single"/>
        </w:rPr>
        <w:t xml:space="preserve">                                         </w:t>
      </w:r>
      <w:r>
        <w:rPr>
          <w:color w:val="000000"/>
          <w:sz w:val="22"/>
          <w:szCs w:val="22"/>
        </w:rPr>
        <w:t xml:space="preserve"> </w:t>
      </w:r>
      <w:r>
        <w:rPr>
          <w:color w:val="000000"/>
          <w:sz w:val="22"/>
          <w:szCs w:val="22"/>
        </w:rPr>
        <w:t>(the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r>
        <w:rPr>
          <w:color w:val="FF0000"/>
          <w:sz w:val="22"/>
          <w:szCs w:val="22"/>
        </w:rPr>
        <w:t>]</w:t>
      </w:r>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4"/>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5"/>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6"/>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atLeast" w:line="240" w:before="240" w:after="0"/>
        <w:ind w:start="720" w:end="0"/>
        <w:jc w:val="both"/>
        <w:rPr/>
      </w:pPr>
      <w:r>
        <w:rPr>
          <w:rStyle w:val="FootnoteCharacters"/>
          <w:rStyle w:val="FootnoteReference"/>
          <w:b/>
          <w:bCs/>
          <w:color w:val="800000"/>
        </w:rPr>
        <w:footnoteReference w:id="77"/>
      </w:r>
      <w:r>
        <w:rPr>
          <w:color w:val="800000"/>
          <w:sz w:val="22"/>
          <w:szCs w:val="22"/>
        </w:rPr>
        <w:t>[(a)</w:t>
        <w:tab/>
      </w:r>
      <w:r>
        <w:rPr>
          <w:b/>
          <w:bCs/>
          <w:color w:val="800000"/>
          <w:sz w:val="22"/>
          <w:szCs w:val="22"/>
        </w:rPr>
        <w:t>“Assets”</w:t>
      </w:r>
      <w:r>
        <w:rPr>
          <w:color w:val="800000"/>
          <w:sz w:val="22"/>
          <w:szCs w:val="22"/>
        </w:rPr>
        <w:t xml:space="preserve"> mean all assets as would generally be classified as such in accordance with generally accepted accounting principles.</w:t>
      </w:r>
    </w:p>
    <w:p>
      <w:pPr>
        <w:pStyle w:val="Normal"/>
        <w:spacing w:lineRule="atLeast" w:line="240" w:before="240" w:after="0"/>
        <w:ind w:start="720" w:end="0"/>
        <w:jc w:val="both"/>
        <w:rPr/>
      </w:pPr>
      <w:r>
        <w:rPr>
          <w:color w:val="800000"/>
          <w:sz w:val="22"/>
          <w:szCs w:val="22"/>
        </w:rPr>
        <w:t>(b)</w:t>
        <w:tab/>
      </w:r>
      <w:r>
        <w:rPr>
          <w:b/>
          <w:bCs/>
          <w:color w:val="800000"/>
          <w:sz w:val="22"/>
          <w:szCs w:val="22"/>
        </w:rPr>
        <w:t xml:space="preserve">“Net Asset Value” </w:t>
      </w:r>
      <w:r>
        <w:rPr>
          <w:color w:val="800000"/>
          <w:sz w:val="22"/>
          <w:szCs w:val="22"/>
        </w:rPr>
        <w:t>means, as of the relevant time of determination, an amount (expressed in United States Dollars) equal to the difference resulting from Party B’s Assets minus its Liabilities.</w:t>
      </w:r>
    </w:p>
    <w:p>
      <w:pPr>
        <w:pStyle w:val="Normal"/>
        <w:spacing w:lineRule="atLeast" w:line="240" w:before="240" w:after="0"/>
        <w:ind w:start="720" w:end="0"/>
        <w:jc w:val="both"/>
        <w:rPr/>
      </w:pPr>
      <w:r>
        <w:rPr>
          <w:color w:val="800000"/>
          <w:sz w:val="22"/>
          <w:szCs w:val="22"/>
        </w:rPr>
        <w:t>(c)</w:t>
        <w:tab/>
      </w:r>
      <w:r>
        <w:rPr>
          <w:b/>
          <w:bCs/>
          <w:color w:val="800000"/>
          <w:sz w:val="22"/>
          <w:szCs w:val="22"/>
        </w:rPr>
        <w:t xml:space="preserve">“Liabilities” </w:t>
      </w:r>
      <w:r>
        <w:rPr>
          <w:color w:val="800000"/>
          <w:sz w:val="22"/>
          <w:szCs w:val="22"/>
        </w:rPr>
        <w:t>means all liabilities as would generally be classified as such in accordance with generally accepted accounting principles.</w:t>
      </w:r>
    </w:p>
    <w:p>
      <w:pPr>
        <w:pStyle w:val="Normal"/>
        <w:spacing w:lineRule="atLeast" w:line="240" w:before="240" w:after="0"/>
        <w:ind w:start="720" w:end="0"/>
        <w:jc w:val="both"/>
        <w:rPr>
          <w:sz w:val="22"/>
          <w:szCs w:val="22"/>
        </w:rPr>
      </w:pPr>
      <w:r>
        <w:rPr>
          <w:color w:val="800000"/>
          <w:sz w:val="22"/>
          <w:szCs w:val="22"/>
        </w:rPr>
        <w:t>(d)</w:t>
        <w:tab/>
        <w:t>“</w:t>
      </w:r>
      <w:r>
        <w:rPr>
          <w:b/>
          <w:bCs/>
          <w:color w:val="800000"/>
          <w:sz w:val="22"/>
          <w:szCs w:val="22"/>
        </w:rPr>
        <w:t xml:space="preserve">Manager” </w:t>
      </w:r>
      <w:r>
        <w:rPr>
          <w:color w:val="800000"/>
          <w:sz w:val="22"/>
          <w:szCs w:val="22"/>
        </w:rPr>
        <w:t xml:space="preserve">means any person(s) with ultimate authority to direct the investments of Party B, currently </w:t>
      </w:r>
      <w:r>
        <w:rPr>
          <w:b/>
          <w:bCs/>
          <w:color w:val="800000"/>
          <w:sz w:val="22"/>
          <w:szCs w:val="22"/>
        </w:rPr>
        <w:t>_______________</w:t>
      </w:r>
      <w:r>
        <w:rPr>
          <w:color w:val="800000"/>
          <w:sz w:val="22"/>
          <w:szCs w:val="22"/>
        </w:rPr>
        <w:t xml:space="preserve"> (and</w:t>
      </w:r>
      <w:r>
        <w:rPr>
          <w:b/>
          <w:bCs/>
          <w:color w:val="800000"/>
          <w:sz w:val="22"/>
          <w:szCs w:val="22"/>
        </w:rPr>
        <w:t>_______________</w:t>
      </w:r>
      <w:r>
        <w:rPr>
          <w:color w:val="800000"/>
          <w:sz w:val="22"/>
          <w:szCs w:val="22"/>
        </w:rPr>
        <w:t>).</w:t>
      </w:r>
      <w:r>
        <w:rPr>
          <w:color w:val="993300"/>
          <w:sz w:val="22"/>
          <w:szCs w:val="22"/>
        </w:rPr>
        <w: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8"/>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9"/>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0"/>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1"/>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2"/>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3"/>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4"/>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85"/>
      </w:r>
    </w:p>
    <w:p>
      <w:pPr>
        <w:pStyle w:val="Normal"/>
        <w:keepNext w:val="true"/>
        <w:jc w:val="end"/>
        <w:rPr>
          <w:sz w:val="22"/>
          <w:szCs w:val="22"/>
        </w:rPr>
      </w:pPr>
      <w:r>
        <w:rPr>
          <w:sz w:val="22"/>
          <w:szCs w:val="22"/>
        </w:rPr>
        <w:t>Very truly yours</w:t>
        <w:tab/>
        <w:tab/>
        <w:tab/>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jc w:val="end"/>
        <w:rPr>
          <w:color w:val="0000FF"/>
          <w:sz w:val="22"/>
          <w:szCs w:val="22"/>
        </w:rPr>
      </w:pPr>
      <w:r>
        <w:rPr>
          <w:color w:val="0000FF"/>
          <w:sz w:val="22"/>
          <w:szCs w:val="22"/>
        </w:rPr>
      </w:r>
    </w:p>
    <w:p>
      <w:pPr>
        <w:pStyle w:val="Normal"/>
        <w:jc w:val="center"/>
        <w:rPr/>
      </w:pPr>
      <w:r>
        <w:rPr>
          <w:rStyle w:val="FootnoteCharacters"/>
          <w:rStyle w:val="FootnoteReference"/>
          <w:color w:val="808000"/>
          <w:sz w:val="20"/>
          <w:szCs w:val="20"/>
        </w:rPr>
        <w:footnoteReference w:id="86"/>
      </w:r>
      <w:r>
        <w:rPr>
          <w:b/>
          <w:bCs/>
          <w:color w:val="808000"/>
          <w:sz w:val="22"/>
          <w:szCs w:val="22"/>
        </w:rPr>
        <w:t>ATTACHMENT A</w:t>
      </w:r>
    </w:p>
    <w:p>
      <w:pPr>
        <w:pStyle w:val="Normal"/>
        <w:jc w:val="center"/>
        <w:rPr>
          <w:b/>
          <w:bCs/>
          <w:color w:val="808000"/>
          <w:sz w:val="22"/>
          <w:szCs w:val="22"/>
        </w:rPr>
      </w:pPr>
      <w:r>
        <w:rPr>
          <w:b/>
          <w:bCs/>
          <w:color w:val="808000"/>
          <w:sz w:val="22"/>
          <w:szCs w:val="22"/>
        </w:rPr>
      </w:r>
    </w:p>
    <w:p>
      <w:pPr>
        <w:pStyle w:val="Normal"/>
        <w:jc w:val="center"/>
        <w:rPr>
          <w:b/>
          <w:bCs/>
          <w:color w:val="808000"/>
          <w:sz w:val="22"/>
          <w:szCs w:val="22"/>
        </w:rPr>
      </w:pPr>
      <w:r>
        <w:rPr>
          <w:b/>
          <w:bCs/>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7"/>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8"/>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9"/>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r>
        <w:br w:type="page"/>
      </w:r>
    </w:p>
    <w:p>
      <w:pPr>
        <w:pStyle w:val="Normal"/>
        <w:jc w:val="center"/>
        <w:rPr/>
      </w:pPr>
      <w:r>
        <w:rPr>
          <w:rStyle w:val="FootnoteCharacters"/>
          <w:rStyle w:val="FootnoteReference"/>
          <w:color w:val="FF00FF"/>
          <w:sz w:val="20"/>
          <w:szCs w:val="20"/>
        </w:rPr>
        <w:footnoteReference w:id="91"/>
      </w:r>
      <w:r>
        <w:rPr>
          <w:b/>
          <w:bCs/>
          <w:color w:val="FF00FF"/>
          <w:sz w:val="22"/>
          <w:szCs w:val="22"/>
        </w:rPr>
        <w:t>ATTACHMENT 1</w:t>
      </w:r>
    </w:p>
    <w:p>
      <w:pPr>
        <w:pStyle w:val="Normal"/>
        <w:jc w:val="center"/>
        <w:rPr>
          <w:b/>
          <w:bCs/>
          <w:color w:val="FF00FF"/>
          <w:sz w:val="22"/>
          <w:szCs w:val="22"/>
        </w:rPr>
      </w:pPr>
      <w:r>
        <w:rPr>
          <w:b/>
          <w:bCs/>
          <w:color w:val="FF00FF"/>
          <w:sz w:val="22"/>
          <w:szCs w:val="22"/>
        </w:rPr>
      </w:r>
    </w:p>
    <w:p>
      <w:pPr>
        <w:pStyle w:val="Normal"/>
        <w:jc w:val="center"/>
        <w:rPr>
          <w:b/>
          <w:bCs/>
          <w:color w:val="FF00FF"/>
          <w:sz w:val="22"/>
          <w:szCs w:val="22"/>
        </w:rPr>
      </w:pPr>
      <w:r>
        <w:rPr>
          <w:b/>
          <w:bCs/>
          <w:color w:val="FF00FF"/>
          <w:sz w:val="22"/>
          <w:szCs w:val="22"/>
        </w:rPr>
        <w:t>LEGAL OPINION</w:t>
      </w:r>
    </w:p>
    <w:p>
      <w:pPr>
        <w:pStyle w:val="Normal"/>
        <w:jc w:val="center"/>
        <w:rPr>
          <w:b/>
          <w:bCs/>
          <w:color w:val="FF00FF"/>
          <w:sz w:val="22"/>
          <w:szCs w:val="22"/>
        </w:rPr>
      </w:pPr>
      <w:r>
        <w:rPr>
          <w:b/>
          <w:bCs/>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2"/>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3"/>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spacing w:before="0" w:after="240"/>
        <w:ind w:start="4320" w:end="0"/>
        <w:rPr>
          <w:color w:val="FF00FF"/>
          <w:sz w:val="22"/>
          <w:szCs w:val="22"/>
        </w:rPr>
      </w:pPr>
      <w:r>
        <w:rPr>
          <w:color w:val="FF00FF"/>
          <w:sz w:val="22"/>
          <w:szCs w:val="22"/>
        </w:rPr>
        <w:t>Very truly yours,</w:t>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rFonts w:ascii="Times New Roman" w:hAnsi="Times New Roman" w:cs="Times New Roman"/>
          <w:b/>
          <w:bCs/>
          <w:sz w:val="22"/>
          <w:szCs w:val="22"/>
        </w:rPr>
      </w:pPr>
      <w:r>
        <w:rPr>
          <w:rFonts w:cs="Times New Roman"/>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8ECI,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and thereafter prior to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Normal"/>
        <w:spacing w:lineRule="exact" w:line="240" w:before="240" w:after="0"/>
        <w:ind w:start="900" w:end="0"/>
        <w:jc w:val="both"/>
        <w:rPr>
          <w:sz w:val="22"/>
          <w:szCs w:val="22"/>
        </w:rPr>
      </w:pPr>
      <w:r>
        <w:rPr>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pPr>
      <w:r>
        <w:rPr>
          <w:sz w:val="22"/>
          <w:szCs w:val="22"/>
        </w:rPr>
        <w:t>It is not entering into this Agreement in the ordinary course of its business of making loans.</w:t>
      </w:r>
      <w:r>
        <w:rPr>
          <w:color w:val="FF0000"/>
          <w:sz w:val="22"/>
          <w:szCs w:val="22"/>
        </w:rPr>
        <w:t>]</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pPr>
            <w:r>
              <w:rPr>
                <w:rFonts w:cs="Times New Roman" w:ascii="Times New Roman" w:hAnsi="Times New Roman"/>
              </w:rPr>
              <w:t>(i)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w:t>
            </w:r>
          </w:p>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(ii) United States Internal Revenue Service Form W</w:t>
              <w:noBreakHyphen/>
              <w:t xml:space="preserve">8ECI, or any successor form, with respect to Transactions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start="72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 United States Internal Revenue Service Form W</w:t>
              <w:noBreakHyphen/>
              <w:t>8ECI, or any successor form, with respect to Transactions identified pursuant to clause (b)(ii)(1) of Part 2</w:t>
            </w:r>
          </w:p>
          <w:p>
            <w:pPr>
              <w:pStyle w:val="Justified"/>
              <w:keepNext w:val="true"/>
              <w:widowControl/>
              <w:spacing w:lineRule="atLeast" w:line="240" w:before="240" w:after="0"/>
              <w:rPr/>
            </w:pPr>
            <w:r>
              <w:rPr>
                <w:rFonts w:cs="Times New Roman" w:ascii="Times New Roman" w:hAnsi="Times New Roman"/>
              </w:rPr>
              <w:t>(ii)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4"/>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8EXP,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before the first Scheduled Payment Date under this Master Agreement, (ii) before the first Scheduled Payment Date in each third successive calendar year,</w:t>
            </w:r>
            <w:r>
              <w:rPr>
                <w:sz w:val="22"/>
                <w:szCs w:val="22"/>
              </w:rPr>
              <w:t xml:space="preserve"> if Party B is an international organization,</w:t>
            </w:r>
            <w:r>
              <w:rPr>
                <w:sz w:val="22"/>
              </w:rPr>
              <w:t xml:space="preserve">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Normal"/>
        <w:rPr/>
      </w:pPr>
      <w:r>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/mnt/main-storage/datasets/enron-docs/doc/isda_schedule_multicurrency09_10_01_.doc</w:t>
    </w:r>
    <w:r>
      <w:rPr>
        <w:rStyle w:val="PageNumber"/>
        <w:sz w:val="16"/>
        <w:szCs w:val="16"/>
      </w:rPr>
      <w:fldChar w:fldCharType="end"/>
    </w:r>
    <w:r>
      <mc:AlternateContent>
        <mc:Choice Requires="wps">
          <w:drawing>
            <wp:anchor behindDoc="0" distT="0" distB="0" distL="0" distR="0" simplePos="0" locked="0" layoutInCell="0" allowOverlap="1" relativeHeight="30">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8">
    <w:p>
      <w:pPr>
        <w:pStyle w:val="FootnoteText"/>
        <w:rPr/>
      </w:pPr>
      <w:r>
        <w:rPr>
          <w:rStyle w:val="FootnoteCharacters"/>
        </w:rPr>
        <w:footnoteRef/>
      </w:r>
      <w:r>
        <w:rPr/>
        <w:t xml:space="preserve"> </w:t>
      </w:r>
      <w:r>
        <w:rPr>
          <w:sz w:val="18"/>
        </w:rPr>
        <w:t>Use the arbitration language bracketed herein for Mexican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 w:id="54">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5">
    <w:p>
      <w:pPr>
        <w:pStyle w:val="FootnoteText"/>
        <w:rPr/>
      </w:pPr>
      <w:r>
        <w:rPr>
          <w:rStyle w:val="FootnoteCharacters"/>
        </w:rPr>
        <w:footnoteRef/>
      </w:r>
      <w:r>
        <w:rPr>
          <w:sz w:val="18"/>
        </w:rPr>
        <w:t xml:space="preserve"> </w:t>
      </w:r>
      <w:r>
        <w:rPr>
          <w:sz w:val="18"/>
        </w:rPr>
        <w:t>Insert if counterparty is incorporated, located or headquartered in British Columbia</w:t>
      </w:r>
    </w:p>
  </w:footnote>
  <w:footnote w:id="56">
    <w:p>
      <w:pPr>
        <w:pStyle w:val="FootnoteText"/>
        <w:rPr/>
      </w:pPr>
      <w:r>
        <w:rPr>
          <w:rStyle w:val="FootnoteCharacters"/>
        </w:rPr>
        <w:footnoteRef/>
      </w:r>
      <w:r>
        <w:rPr>
          <w:sz w:val="18"/>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sz w:val="18"/>
        </w:rPr>
        <w:t xml:space="preserve"> </w:t>
      </w:r>
      <w:r>
        <w:rPr>
          <w:sz w:val="18"/>
          <w:szCs w:val="18"/>
        </w:rPr>
        <w:t>Insert for Mexican counterparties</w:t>
      </w:r>
    </w:p>
  </w:footnote>
  <w:footnote w:id="63">
    <w:p>
      <w:pPr>
        <w:pStyle w:val="FootnoteText"/>
        <w:widowControl/>
        <w:rPr/>
      </w:pPr>
      <w:r>
        <w:rPr>
          <w:rStyle w:val="FootnoteCharacters"/>
        </w:rPr>
        <w:footnoteRef/>
      </w:r>
      <w:r>
        <w:rPr>
          <w:sz w:val="18"/>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sz w:val="18"/>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sz w:val="18"/>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2">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3">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4">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5">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6">
    <w:p>
      <w:pPr>
        <w:pStyle w:val="FootnoteText"/>
        <w:rPr/>
      </w:pPr>
      <w:r>
        <w:rPr>
          <w:rStyle w:val="FootnoteCharacters"/>
        </w:rPr>
        <w:footnoteRef/>
      </w:r>
      <w:r>
        <w:rPr>
          <w:sz w:val="18"/>
          <w:szCs w:val="18"/>
        </w:rPr>
        <w:t xml:space="preserve"> </w:t>
      </w:r>
      <w:r>
        <w:rPr>
          <w:sz w:val="18"/>
          <w:szCs w:val="18"/>
        </w:rPr>
        <w:t>Insert for governmental entities</w:t>
      </w:r>
    </w:p>
  </w:footnote>
  <w:footnote w:id="77">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8">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9">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0">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1">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2">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3">
    <w:p>
      <w:pPr>
        <w:pStyle w:val="FootnoteText"/>
        <w:rPr/>
      </w:pPr>
      <w:r>
        <w:rPr>
          <w:rStyle w:val="FootnoteCharacters"/>
        </w:rPr>
        <w:footnoteRef/>
      </w:r>
      <w:r>
        <w:rPr>
          <w:sz w:val="18"/>
        </w:rPr>
        <w:t xml:space="preserve"> </w:t>
      </w:r>
      <w:r>
        <w:rPr>
          <w:sz w:val="18"/>
          <w:szCs w:val="18"/>
        </w:rPr>
        <w:t>Use for governmental entities</w:t>
      </w:r>
    </w:p>
  </w:footnote>
  <w:footnote w:id="84">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5">
    <w:p>
      <w:pPr>
        <w:pStyle w:val="FootnoteText"/>
        <w:rPr/>
      </w:pPr>
      <w:r>
        <w:rPr>
          <w:rStyle w:val="FootnoteCharacters"/>
        </w:rPr>
        <w:footnoteRef/>
      </w:r>
      <w:r>
        <w:rPr/>
        <w:t xml:space="preserve"> </w:t>
      </w:r>
      <w:r>
        <w:rPr>
          <w:sz w:val="18"/>
        </w:rPr>
        <w:t>Insert for Mexican counterparty opinions</w:t>
      </w:r>
    </w:p>
  </w:footnote>
  <w:footnote w:id="86">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7">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8">
    <w:p>
      <w:pPr>
        <w:pStyle w:val="FootnoteText"/>
        <w:rPr/>
      </w:pPr>
      <w:r>
        <w:rPr>
          <w:rStyle w:val="FootnoteCharacters"/>
        </w:rPr>
        <w:footnoteRef/>
      </w:r>
      <w:r>
        <w:rPr>
          <w:sz w:val="18"/>
        </w:rPr>
        <w:t xml:space="preserve"> </w:t>
      </w:r>
      <w:r>
        <w:rPr>
          <w:sz w:val="18"/>
          <w:szCs w:val="18"/>
        </w:rPr>
        <w:t>As of 9/29/99 the reference is to 4(i)</w:t>
      </w:r>
    </w:p>
  </w:footnote>
  <w:footnote w:id="89">
    <w:p>
      <w:pPr>
        <w:pStyle w:val="FootnoteText"/>
        <w:rPr/>
      </w:pPr>
      <w:r>
        <w:rPr>
          <w:rStyle w:val="FootnoteCharacters"/>
        </w:rPr>
        <w:footnoteRef/>
      </w:r>
      <w:r>
        <w:rPr>
          <w:sz w:val="18"/>
        </w:rPr>
        <w:t xml:space="preserve"> </w:t>
      </w:r>
      <w:r>
        <w:rPr>
          <w:sz w:val="18"/>
          <w:szCs w:val="18"/>
        </w:rPr>
        <w:t>If applicable</w:t>
      </w:r>
    </w:p>
  </w:footnote>
  <w:footnote w:id="90">
    <w:p>
      <w:pPr>
        <w:pStyle w:val="FootnoteText"/>
        <w:rPr/>
      </w:pPr>
      <w:r>
        <w:rPr>
          <w:rStyle w:val="FootnoteCharacters"/>
        </w:rPr>
        <w:footnoteRef/>
      </w:r>
      <w:r>
        <w:rPr>
          <w:sz w:val="18"/>
          <w:szCs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Use for governmental entities</w:t>
      </w:r>
    </w:p>
  </w:footnote>
  <w:footnote w:id="9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4">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2001-07-06T20:24:00Z</dcterms:created>
  <dc:creator>mheard</dc:creator>
  <dc:description/>
  <dc:language>en-CA</dc:language>
  <cp:lastModifiedBy>sbaile2</cp:lastModifiedBy>
  <cp:lastPrinted>2001-10-18T10:47:00Z</cp:lastPrinted>
  <dcterms:modified xsi:type="dcterms:W3CDTF">2001-10-18T15:31:00Z</dcterms:modified>
  <cp:revision>19</cp:revision>
  <dc:subject/>
  <dc:title>ISDA Multicurrency Agreement</dc:title>
</cp:coreProperties>
</file>