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u w:val="single"/>
        </w:rPr>
      </w:pPr>
      <w:r>
        <w:rPr>
          <w:b/>
          <w:bCs/>
          <w:color w:val="FF0000"/>
          <w:sz w:val="22"/>
          <w:szCs w:val="22"/>
          <w:u w:val="single"/>
        </w:rPr>
        <w:t>DRAFT OF 02/14/2001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$____________ (or its equivalent in another currency); </w:t>
      </w:r>
      <w:r>
        <w:rPr>
          <w:color w:val="FF0000"/>
          <w:sz w:val="22"/>
          <w:szCs w:val="22"/>
        </w:rPr>
        <w:t>[</w:t>
      </w:r>
      <w:r>
        <w:rPr>
          <w:sz w:val="22"/>
          <w:szCs w:val="22"/>
        </w:rPr>
        <w:t>with respect to Party A’s Credit Support Provider, U.S. $____________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color w:val="FF0000"/>
          <w:sz w:val="22"/>
          <w:szCs w:val="22"/>
          <w:u w:val="single"/>
        </w:rPr>
        <w:t>provided</w:t>
      </w:r>
      <w:r>
        <w:rPr>
          <w:color w:val="FF0000"/>
          <w:sz w:val="22"/>
          <w:szCs w:val="22"/>
        </w:rPr>
        <w:t xml:space="preserve">, </w:t>
      </w:r>
      <w:r>
        <w:rPr>
          <w:color w:val="FF0000"/>
          <w:sz w:val="22"/>
          <w:szCs w:val="22"/>
          <w:u w:val="single"/>
        </w:rPr>
        <w:t>that</w:t>
      </w:r>
      <w:r>
        <w:rPr>
          <w:color w:val="FF0000"/>
          <w:sz w:val="22"/>
          <w:szCs w:val="22"/>
        </w:rPr>
        <w:t>, such Threshold Amount shall apply individually and not collectively with respect to each entity set forth above notwithstanding anything to the contrary set forth in Section 5(a)(vi) of the Master Agreement]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 xml:space="preserve">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p>
    <w:p>
      <w:pPr>
        <w:pStyle w:val="Normal"/>
        <w:ind w:hanging="720" w:start="144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the Manager resigns, is terminated or is otherwise incapacitated for a period exceeding _______________.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(c)</w:t>
        <w:tab/>
        <w:t>If the Management Agreement is terminated by either the Manager or Party B (including breach of the Management Agreement or the Investment Policy).]</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0000FF"/>
          <w:sz w:val="22"/>
          <w:szCs w:val="22"/>
        </w:rPr>
        <w:t>[the English language in]</w:t>
      </w:r>
      <w:r>
        <w:rPr>
          <w:rStyle w:val="FootnoteCharacters"/>
          <w:rStyle w:val="FootnoteReference"/>
          <w:color w:val="0000FF"/>
          <w:sz w:val="20"/>
          <w:szCs w:val="20"/>
        </w:rPr>
        <w:footnoteReference w:id="47"/>
      </w:r>
      <w:r>
        <w:rPr>
          <w:color w:val="0000FF"/>
          <w:sz w:val="22"/>
          <w:szCs w:val="22"/>
        </w:rPr>
        <w:t xml:space="preserve">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8"/>
      </w:r>
    </w:p>
    <w:p>
      <w:pPr>
        <w:pStyle w:val="Normal"/>
        <w:ind w:start="720" w:end="0"/>
        <w:jc w:val="both"/>
        <w:rPr>
          <w:b/>
          <w:bCs/>
          <w:color w:val="FF0000"/>
          <w:sz w:val="22"/>
          <w:szCs w:val="22"/>
        </w:rPr>
      </w:pPr>
      <w:r>
        <w:rPr>
          <w:b/>
          <w:bCs/>
          <w:color w:val="FF0000"/>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Party A appoints as its Process Agent,</w:t>
      </w:r>
      <w:r>
        <w:rPr>
          <w:color w:val="800080"/>
          <w:sz w:val="22"/>
          <w:szCs w:val="22"/>
          <w:u w:val="single"/>
        </w:rPr>
        <w:t xml:space="preserve">____                              </w:t>
      </w:r>
      <w:r>
        <w:rPr>
          <w:color w:val="800080"/>
          <w:sz w:val="22"/>
          <w:szCs w:val="22"/>
        </w:rPr>
        <w:t xml:space="preserve">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__________</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 _______________ ]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color w:val="0000FF"/>
          <w:sz w:val="22"/>
          <w:szCs w:val="22"/>
          <w:u w:val="single"/>
        </w:rPr>
        <w:t>Registro Publico de Comercio de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b/>
          <w:bCs/>
          <w:color w:val="FF0000"/>
          <w:sz w:val="22"/>
          <w:szCs w:val="22"/>
        </w:rPr>
      </w:pPr>
      <w:r>
        <w:rPr>
          <w:rStyle w:val="FootnoteCharacters"/>
          <w:rStyle w:val="FootnoteReference"/>
          <w:color w:val="FF0000"/>
        </w:rPr>
        <w:footnoteReference w:id="71"/>
      </w:r>
      <w:r>
        <w:rPr>
          <w:color w:val="FF0000"/>
          <w:sz w:val="22"/>
          <w:szCs w:val="22"/>
        </w:rPr>
        <w:t>[</w:t>
      </w:r>
      <w:r>
        <w:rPr>
          <w:color w:val="000000"/>
          <w:sz w:val="22"/>
          <w:szCs w:val="22"/>
        </w:rPr>
        <w:t xml:space="preserve">(n)     </w:t>
      </w:r>
      <w:r>
        <w:rPr>
          <w:b/>
          <w:bCs/>
          <w:color w:val="000000"/>
          <w:sz w:val="22"/>
          <w:szCs w:val="22"/>
        </w:rPr>
        <w:t>Existing Agreement.</w:t>
      </w:r>
      <w:r>
        <w:rPr>
          <w:color w:val="000000"/>
          <w:sz w:val="22"/>
          <w:szCs w:val="22"/>
        </w:rPr>
        <w:t xml:space="preserve">  The Parties have entered into a Master Agreement dated as of (the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keepNext w:val="true"/>
        <w:spacing w:lineRule="atLeast" w:line="240" w:before="240" w:after="0"/>
        <w:ind w:firstLine="720" w:end="0"/>
        <w:jc w:val="both"/>
        <w:rPr/>
      </w:pPr>
      <w:r>
        <w:rPr>
          <w:rStyle w:val="FootnoteCharacters"/>
          <w:rStyle w:val="FootnoteReference"/>
          <w:b/>
          <w:bCs/>
          <w:color w:val="993300"/>
        </w:rPr>
        <w:footnoteReference w:id="77"/>
      </w:r>
      <w:r>
        <w:rPr>
          <w:color w:val="993300"/>
          <w:sz w:val="22"/>
          <w:szCs w:val="22"/>
        </w:rPr>
        <w:t>[(a)</w:t>
        <w:tab/>
      </w:r>
      <w:r>
        <w:rPr>
          <w:b/>
          <w:bCs/>
          <w:color w:val="993300"/>
          <w:sz w:val="22"/>
          <w:szCs w:val="22"/>
        </w:rPr>
        <w:t xml:space="preserve">“Net Asset Value” </w:t>
      </w:r>
      <w:r>
        <w:rPr>
          <w:color w:val="993300"/>
          <w:sz w:val="22"/>
          <w:szCs w:val="22"/>
        </w:rPr>
        <w:t>means ______[“has the meaning set forth in the prospectus”]</w:t>
      </w:r>
    </w:p>
    <w:p>
      <w:pPr>
        <w:pStyle w:val="Normal"/>
        <w:keepNext w:val="true"/>
        <w:spacing w:lineRule="atLeast" w:line="240" w:before="240" w:after="0"/>
        <w:ind w:firstLine="720" w:end="0"/>
        <w:jc w:val="both"/>
        <w:rPr/>
      </w:pPr>
      <w:r>
        <w:rPr>
          <w:color w:val="993300"/>
          <w:sz w:val="22"/>
          <w:szCs w:val="22"/>
        </w:rPr>
        <w:t>(b)</w:t>
        <w:tab/>
      </w:r>
      <w:r>
        <w:rPr>
          <w:b/>
          <w:bCs/>
          <w:color w:val="993300"/>
          <w:sz w:val="22"/>
          <w:szCs w:val="22"/>
        </w:rPr>
        <w:t xml:space="preserve">“Liabilities” </w:t>
      </w:r>
      <w:r>
        <w:rPr>
          <w:color w:val="993300"/>
          <w:sz w:val="22"/>
          <w:szCs w:val="22"/>
        </w:rPr>
        <w:t>means ______ (must include short positions).</w:t>
      </w:r>
    </w:p>
    <w:p>
      <w:pPr>
        <w:pStyle w:val="Normal"/>
        <w:keepNext w:val="true"/>
        <w:spacing w:lineRule="atLeast" w:line="240" w:before="240" w:after="0"/>
        <w:ind w:start="720" w:end="0"/>
        <w:jc w:val="both"/>
        <w:rPr/>
      </w:pPr>
      <w:r>
        <w:rPr>
          <w:color w:val="993300"/>
          <w:sz w:val="22"/>
          <w:szCs w:val="22"/>
        </w:rPr>
        <w:t>(c)</w:t>
        <w:tab/>
      </w:r>
      <w:r>
        <w:rPr>
          <w:b/>
          <w:bCs/>
          <w:color w:val="993300"/>
          <w:sz w:val="22"/>
          <w:szCs w:val="22"/>
        </w:rPr>
        <w:t xml:space="preserve">“Management Agreement” </w:t>
      </w:r>
      <w:r>
        <w:rPr>
          <w:color w:val="993300"/>
          <w:sz w:val="22"/>
          <w:szCs w:val="22"/>
        </w:rPr>
        <w:t>means that certain agreement dated ____________ between Party B and the Manager for managing the operations and affairs of Party B.</w:t>
      </w:r>
    </w:p>
    <w:p>
      <w:pPr>
        <w:pStyle w:val="BodyTextIndent"/>
        <w:spacing w:lineRule="atLeast" w:line="240"/>
        <w:rPr/>
      </w:pPr>
      <w:r>
        <w:rPr>
          <w:color w:val="993300"/>
        </w:rPr>
        <w:t>(d)</w:t>
        <w:tab/>
      </w:r>
      <w:r>
        <w:rPr>
          <w:b/>
          <w:bCs/>
          <w:color w:val="993300"/>
        </w:rPr>
        <w:t xml:space="preserve">“Investment Policy” </w:t>
      </w:r>
      <w:r>
        <w:rPr>
          <w:color w:val="993300"/>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sz w:val="22"/>
          <w:szCs w:val="22"/>
        </w:rPr>
      </w:pPr>
      <w:r>
        <w:rPr>
          <w:color w:val="993300"/>
          <w:sz w:val="22"/>
          <w:szCs w:val="22"/>
        </w:rPr>
        <w:t>(e)</w:t>
        <w:tab/>
      </w:r>
      <w:r>
        <w:rPr>
          <w:b/>
          <w:bCs/>
          <w:color w:val="993300"/>
          <w:sz w:val="22"/>
          <w:szCs w:val="22"/>
        </w:rPr>
        <w:t xml:space="preserve">“Manager” </w:t>
      </w:r>
      <w:r>
        <w:rPr>
          <w:color w:val="993300"/>
          <w:sz w:val="22"/>
          <w:szCs w:val="22"/>
        </w:rPr>
        <w:t>means __________.]</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color w:val="0000FF"/>
          <w:sz w:val="22"/>
          <w:szCs w:val="22"/>
        </w:rPr>
      </w:pPr>
      <w:r>
        <w:rPr>
          <w:b/>
          <w:bCs/>
          <w:color w:val="0000FF"/>
          <w:sz w:val="22"/>
          <w:szCs w:val="22"/>
        </w:rPr>
      </w:r>
    </w:p>
    <w:p>
      <w:pPr>
        <w:pStyle w:val="Normal"/>
        <w:jc w:val="center"/>
        <w:rPr/>
      </w:pPr>
      <w:r>
        <w:rPr>
          <w:rStyle w:val="FootnoteCharacters"/>
          <w:rStyle w:val="FootnoteReference"/>
          <w:color w:val="808000"/>
          <w:sz w:val="20"/>
          <w:szCs w:val="20"/>
        </w:rPr>
        <w:footnoteReference w:id="86"/>
      </w:r>
      <w:r>
        <w:rPr>
          <w:color w:val="808000"/>
          <w:sz w:val="22"/>
          <w:szCs w:val="22"/>
        </w:rPr>
        <w:t>ATTACHMENT A</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p>
    <w:p>
      <w:pPr>
        <w:pStyle w:val="Header"/>
        <w:widowControl/>
        <w:rPr>
          <w:color w:val="808000"/>
          <w:sz w:val="22"/>
          <w:szCs w:val="22"/>
        </w:rPr>
      </w:pPr>
      <w:r>
        <w:rPr>
          <w:color w:val="808000"/>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pPr>
      <w:r>
        <w:rPr>
          <w:rStyle w:val="FootnoteCharacters"/>
          <w:rStyle w:val="FootnoteReference"/>
          <w:color w:val="FF00FF"/>
          <w:sz w:val="20"/>
          <w:szCs w:val="20"/>
        </w:rPr>
        <w:footnoteReference w:id="91"/>
      </w:r>
      <w:r>
        <w:rPr>
          <w:color w:val="FF00FF"/>
          <w:sz w:val="22"/>
          <w:szCs w:val="22"/>
        </w:rPr>
        <w:t>ATTACHMENT 1</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t>LEGAL OPINION</w:t>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FF00FF"/>
          <w:sz w:val="22"/>
          <w:szCs w:val="22"/>
        </w:rPr>
      </w:pPr>
      <w:r>
        <w:rPr>
          <w:color w:val="FF00FF"/>
          <w:sz w:val="22"/>
          <w:szCs w:val="22"/>
        </w:rPr>
        <w:t>Very truly yours,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Header"/>
        <w:widowControl/>
        <w:rPr>
          <w:color w:val="FF00FF"/>
          <w:sz w:val="22"/>
          <w:szCs w:val="22"/>
        </w:rPr>
      </w:pPr>
      <w:r>
        <w:rPr>
          <w:color w:val="FF00FF"/>
          <w:sz w:val="22"/>
          <w:szCs w:val="22"/>
        </w:rPr>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spacing w:lineRule="exact" w:line="240"/>
        <w:jc w:val="both"/>
        <w:rPr>
          <w:sz w:val="22"/>
          <w:szCs w:val="22"/>
        </w:rPr>
      </w:pPr>
      <w:r>
        <w:rPr>
          <w:sz w:val="22"/>
          <w:szCs w:val="22"/>
        </w:rPr>
      </w:r>
    </w:p>
    <w:p>
      <w:pPr>
        <w:pStyle w:val="Normal"/>
        <w:spacing w:lineRule="exact" w:line="24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ind w:firstLine="720" w:start="720" w:end="0"/>
        <w:jc w:val="both"/>
        <w:rPr>
          <w:sz w:val="22"/>
          <w:szCs w:val="22"/>
        </w:rPr>
      </w:pPr>
      <w:r>
        <w:rPr>
          <w:sz w:val="22"/>
          <w:szCs w:val="22"/>
        </w:rPr>
      </w:r>
    </w:p>
    <w:p>
      <w:pPr>
        <w:pStyle w:val="BodyTextIndent"/>
        <w:spacing w:before="0" w:after="0"/>
        <w:rPr/>
      </w:pPr>
      <w:r>
        <w:rPr/>
        <w:t>Party B agrees to complete (accurately and in a manner reasonably satisfactory to Party A), execute, and deliver to Party A a United States Internal Revenue Service Form W</w:t>
        <w:noBreakHyphen/>
        <w:t>8ECI, or any successor form, (i) before the first Scheduled Payment Date under this Agreement, and thereafter prior to the first Scheduled Payment Date in each third successive calendar year, (ii) promptly upon reasonable demand by Party A, and (iii) promptly upon learning that any such form previously provided by Party B has become obsolete or incorrect.</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Party B agrees to complete (accurately and in a manner reasonably satisfactory to Party A), execute, and deliver to Party A a United States Internal Revenue Service FormW</w:t>
        <w:softHyphen/>
        <w:t>-8BEN, or any successor form, (i) before the first Scheduled Payment Date under this Agreement, (ii) the first Scheduled Payment Date in each third successive calendar year, (iii) promptly upon reasonable demand by Party A, and (iv) promptly upon learning that any such form previously provided by Party B has become obsolete or incorrect.</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Heading4"/>
        <w:ind w:hanging="0" w:start="0"/>
        <w:rPr/>
      </w:pPr>
      <w:r>
        <w:rPr/>
        <w:t>Part 3.</w:t>
        <w:tab/>
        <w:t>Agreement to Deliver Documents</w:t>
      </w:r>
    </w:p>
    <w:p>
      <w:pPr>
        <w:pStyle w:val="Normal"/>
        <w:tabs>
          <w:tab w:val="clear" w:pos="720"/>
          <w:tab w:val="left" w:pos="990" w:leader="none"/>
        </w:tabs>
        <w:spacing w:lineRule="exact" w:line="240" w:before="240" w:after="0"/>
        <w:jc w:val="both"/>
        <w:rPr>
          <w:color w:val="FF0000"/>
          <w:sz w:val="22"/>
          <w:szCs w:val="22"/>
        </w:rPr>
      </w:pPr>
      <w:r>
        <w:rPr>
          <w:sz w:val="22"/>
          <w:szCs w:val="22"/>
        </w:rPr>
        <w:t>(a)</w:t>
        <w:tab/>
        <w:t>Tax forms, documents, or certificates to be delivered are:  United States Internal Revenue Service Form W</w:t>
        <w:noBreakHyphen/>
        <w:t xml:space="preserve">9 </w:t>
      </w:r>
      <w:r>
        <w:rPr>
          <w:color w:val="FF0000"/>
          <w:sz w:val="22"/>
          <w:szCs w:val="22"/>
        </w:rPr>
        <w:t>[</w:t>
      </w:r>
      <w:r>
        <w:rPr>
          <w:sz w:val="22"/>
          <w:szCs w:val="22"/>
        </w:rPr>
        <w:t>before the first Scheduled Payment Date under this Agreement.</w:t>
      </w:r>
      <w:r>
        <w:rPr>
          <w:color w:val="FF0000"/>
          <w:sz w:val="22"/>
          <w:szCs w:val="22"/>
        </w:rPr>
        <w:t>]</w:t>
      </w:r>
      <w:r>
        <w:rPr>
          <w:rStyle w:val="FootnoteCharacters"/>
          <w:rStyle w:val="FootnoteReference"/>
          <w:color w:val="FF0000"/>
        </w:rPr>
        <w:footnoteReference w:id="94"/>
      </w:r>
    </w:p>
    <w:p>
      <w:pPr>
        <w:pStyle w:val="Normal"/>
        <w:spacing w:lineRule="exact" w:line="240" w:before="240" w:after="0"/>
        <w:ind w:firstLine="720" w:start="720" w:end="0"/>
        <w:jc w:val="both"/>
        <w:rPr>
          <w:color w:val="FF0000"/>
          <w:sz w:val="22"/>
          <w:szCs w:val="22"/>
        </w:rPr>
      </w:pPr>
      <w:r>
        <w:rPr>
          <w:color w:val="FF0000"/>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uppressAutoHyphens w:val="true"/>
        <w:spacing w:lineRule="exact" w:line="240" w:before="240" w:after="0"/>
        <w:ind w:hanging="720" w:start="720" w:end="0"/>
        <w:jc w:val="both"/>
        <w:rPr/>
      </w:pPr>
      <w:r>
        <w:rPr>
          <w:sz w:val="22"/>
          <w:szCs w:val="22"/>
        </w:rPr>
        <w:t>(i)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 xml:space="preserve">not </w:t>
      </w:r>
      <w:r>
        <w:rPr>
          <w:sz w:val="22"/>
          <w:szCs w:val="22"/>
        </w:rPr>
        <w:t>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660" w:start="720" w:end="0"/>
        <w:jc w:val="both"/>
        <w:rPr>
          <w:sz w:val="22"/>
          <w:szCs w:val="22"/>
        </w:rPr>
      </w:pPr>
      <w:r>
        <w:rPr>
          <w:sz w:val="22"/>
          <w:szCs w:val="22"/>
        </w:rPr>
        <w:t>(ii)</w:t>
        <w:tab/>
        <w:t>Party B agrees to complete (accurately and in a manner reasonably satisfactory to Party A), execute, and deliver to Party A a United States Internal Revenue Service Form W</w:t>
        <w:noBreakHyphen/>
        <w:t>8ECI, or any successor form, with respect to Transactions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b/>
          <w:bCs/>
          <w:sz w:val="22"/>
          <w:szCs w:val="22"/>
        </w:rPr>
      </w:pPr>
      <w:r>
        <w:rPr>
          <w:b/>
          <w:bCs/>
          <w:sz w:val="22"/>
          <w:szCs w:val="22"/>
        </w:rPr>
      </w: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hanging="720" w:start="720" w:end="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hanging="720" w:start="720" w:end="0"/>
        <w:jc w:val="both"/>
        <w:rPr>
          <w:sz w:val="22"/>
          <w:szCs w:val="22"/>
        </w:rPr>
      </w:pPr>
      <w:r>
        <w:rPr>
          <w:sz w:val="22"/>
          <w:szCs w:val="22"/>
        </w:rPr>
        <w:t>(i)</w:t>
        <w:tab/>
        <w:t>Party B agrees to complete (accurately and in a manner reasonably satisfactory to Party A), execute, and deliver to Party A a United States Internal Revenue Service Form W</w:t>
        <w:noBreakHyphen/>
        <w:t>8ECI, or any successor form, with respect to Transactions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keepNext w:val="true"/>
        <w:suppressAutoHyphens w:val="true"/>
        <w:spacing w:lineRule="exact" w:line="240" w:before="240" w:after="0"/>
        <w:ind w:hanging="720" w:start="720" w:end="0"/>
        <w:jc w:val="both"/>
        <w:rPr>
          <w:rStyle w:val="FootnoteCharacters"/>
          <w:sz w:val="22"/>
          <w:szCs w:val="22"/>
        </w:rPr>
      </w:pPr>
      <w:r>
        <w:rPr>
          <w:sz w:val="22"/>
          <w:szCs w:val="22"/>
        </w:rPr>
        <w:t>(ii)</w:t>
        <w:tab/>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not</w:t>
      </w:r>
      <w:r>
        <w:rPr>
          <w:sz w:val="22"/>
          <w:szCs w:val="22"/>
        </w:rPr>
        <w:t xml:space="preserve">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rStyle w:val="FootnoteCharacters"/>
          <w:sz w:val="22"/>
          <w:szCs w:val="22"/>
        </w:rPr>
      </w:pPr>
      <w:r>
        <w:rPr/>
      </w: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BodyTextIndent"/>
        <w:keepNext w:val="true"/>
        <w:suppressAutoHyphens w:val="true"/>
        <w:rPr/>
      </w:pPr>
      <w:r>
        <w:rPr/>
        <w:t>Party B agrees to complete (accurately and in a manner reasonably satisfactory to Party A), execute and deliver to Party A a United States Internal Revenue Service Form W</w:t>
        <w:noBreakHyphen/>
        <w:t>8BEN, or any successor form,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240"/>
        <w:jc w:val="both"/>
        <w:rPr>
          <w:sz w:val="22"/>
          <w:szCs w:val="22"/>
        </w:rPr>
      </w:pPr>
      <w:r>
        <w:rPr>
          <w:sz w:val="22"/>
          <w:szCs w:val="22"/>
        </w:rPr>
      </w: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5"/>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before="240" w:after="0"/>
        <w:ind w:hanging="720" w:start="720" w:end="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ind w:start="720" w:end="0"/>
        <w:jc w:val="both"/>
        <w:rPr>
          <w:sz w:val="22"/>
          <w:szCs w:val="22"/>
        </w:rPr>
      </w:pPr>
      <w:r>
        <w:rPr>
          <w:sz w:val="22"/>
          <w:szCs w:val="22"/>
        </w:rPr>
        <w:t>Party B agrees to complete (accurately and in a manner reasonably satisfactory to Party A), execute, and deliver to Party A a United States Internal Revenue Service Form W</w:t>
        <w:noBreakHyphen/>
        <w:t>8EXP, or any successor form, (i) before the first Scheduled Payment Date under this Agreement, (ii) before the first Scheduled Payment Date in each third successive calendar year if Party B is an international organization, (iii) promptly upon reasonable demand by Party A, and (iv) promptly upon learning that any such form previously provided by Party B has become obsolete or incorrect.</w:t>
      </w:r>
    </w:p>
    <w:p>
      <w:pPr>
        <w:pStyle w:val="Normal"/>
        <w:spacing w:lineRule="exact" w:line="240"/>
        <w:jc w:val="both"/>
        <w:rPr>
          <w:sz w:val="22"/>
          <w:szCs w:val="22"/>
        </w:rPr>
      </w:pPr>
      <w:r>
        <w:rPr>
          <w:sz w:val="22"/>
          <w:szCs w:val="22"/>
        </w:rPr>
      </w:r>
    </w:p>
    <w:p>
      <w:pPr>
        <w:pStyle w:val="Normal"/>
        <w:spacing w:lineRule="exact" w:line="240"/>
        <w:jc w:val="both"/>
        <w:rPr>
          <w:sz w:val="22"/>
          <w:szCs w:val="22"/>
        </w:rPr>
      </w:pPr>
      <w:r>
        <w:rPr>
          <w:sz w:val="22"/>
          <w:szCs w:val="22"/>
        </w:rPr>
        <w:t>Form ISDAEXH1.doc</w:t>
      </w:r>
    </w:p>
    <w:p>
      <w:pPr>
        <w:pStyle w:val="Justified"/>
        <w:spacing w:lineRule="exact" w:line="240" w:before="0" w:after="0"/>
        <w:rPr>
          <w:rFonts w:ascii="Times New Roman" w:hAnsi="Times New Roman" w:cs="Times New Roman"/>
          <w:b/>
          <w:bCs/>
        </w:rPr>
      </w:pPr>
      <w:r>
        <w:rPr>
          <w:rFonts w:cs="Times New Roman" w:ascii="Times New Roman" w:hAnsi="Times New Roman"/>
        </w:rPr>
        <w:t>FORM DATE 11/6/96</w:t>
      </w:r>
    </w:p>
    <w:p>
      <w:pPr>
        <w:pStyle w:val="Normal"/>
        <w:rPr>
          <w:rFonts w:ascii="Times New Roman" w:hAnsi="Times New Roman" w:cs="Times New Roman"/>
          <w:b/>
          <w:bCs/>
          <w:sz w:val="22"/>
          <w:szCs w:val="22"/>
        </w:rPr>
      </w:pPr>
      <w:r>
        <w:rPr>
          <w:rFonts w:cs="Times New Roman"/>
          <w:b/>
          <w:bCs/>
          <w:sz w:val="22"/>
          <w:szCs w:val="22"/>
        </w:rPr>
      </w:r>
    </w:p>
    <w:p>
      <w:pPr>
        <w:pStyle w:val="Normal"/>
        <w:rPr>
          <w:sz w:val="22"/>
          <w:szCs w:val="22"/>
        </w:rPr>
      </w:pPr>
      <w:r>
        <w:rPr>
          <w:sz w:val="22"/>
          <w:szCs w:val="22"/>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/mnt/main-storage/datasets/enron-docs/doc/isda_schedule_multicurrency02_14_01_-18fabb8f871162823964e37723213bb91e9b1c0457ca6110ec94cd0192d4e962.doc</w:t>
    </w:r>
    <w:r>
      <w:rPr>
        <w:rStyle w:val="PageNumber"/>
        <w:sz w:val="16"/>
        <w:szCs w:val="16"/>
      </w:rPr>
      <w:fldChar w:fldCharType="end"/>
    </w:r>
    <w:r>
      <mc:AlternateContent>
        <mc:Choice Requires="wps">
          <w:drawing>
            <wp:anchor behindDoc="0" distT="0" distB="0" distL="0" distR="0" simplePos="0" locked="0" layoutInCell="0" allowOverlap="1" relativeHeight="2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28</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rPr>
        <w:t xml:space="preserve"> </w:t>
      </w:r>
      <w:r>
        <w:rPr>
          <w:sz w:val="18"/>
          <w:szCs w:val="18"/>
        </w:rPr>
        <w:t>Add for Mexican counterparties</w:t>
      </w:r>
    </w:p>
  </w:footnote>
  <w:footnote w:id="48">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t xml:space="preserve"> </w:t>
      </w:r>
      <w:r>
        <w:rPr>
          <w:sz w:val="18"/>
        </w:rPr>
        <w:t>Delete the bracketed language when delivering this tax form in connection with the execution of a master agreement</w:t>
      </w:r>
    </w:p>
  </w:footnote>
  <w:footnote w:id="95">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2001-03-08T18:02:00Z</dcterms:created>
  <dc:creator>mheard</dc:creator>
  <dc:description/>
  <dc:language>en-CA</dc:language>
  <cp:lastModifiedBy>fsayre</cp:lastModifiedBy>
  <cp:lastPrinted>2001-03-16T15:46:00Z</cp:lastPrinted>
  <dcterms:modified xsi:type="dcterms:W3CDTF">2001-03-19T12:22:00Z</dcterms:modified>
  <cp:revision>11</cp:revision>
  <dc:subject/>
  <dc:title>ISDA Multicurrency Agreement</dc:title>
</cp:coreProperties>
</file>