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w:dxaOrig="1798" w:dyaOrig="172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9.9pt;height:86.3pt" filled="f" o:ole="">
            <v:imagedata r:id="rId3" o:title=""/>
          </v:shape>
          <o:OLEObject Type="Embed" ProgID="" ShapeID="ole_rId2" DrawAspect="Content" ObjectID="_1404285972" r:id="rId2"/>
        </w:object>
      </w:r>
      <w:r>
        <w:rPr>
          <w:rFonts w:eastAsia="Arial"/>
        </w:rPr>
        <w:t xml:space="preserve"> </w:t>
      </w:r>
      <w:r>
        <mc:AlternateContent>
          <mc:Choice Requires="wps">
            <w:drawing>
              <wp:anchor behindDoc="0" distT="0" distB="0" distL="114935" distR="114935" simplePos="0" locked="0" layoutInCell="1" allowOverlap="1" relativeHeight="2">
                <wp:simplePos x="0" y="0"/>
                <wp:positionH relativeFrom="column">
                  <wp:posOffset>4316730</wp:posOffset>
                </wp:positionH>
                <wp:positionV relativeFrom="paragraph">
                  <wp:posOffset>53340</wp:posOffset>
                </wp:positionV>
                <wp:extent cx="1718310" cy="1006475"/>
                <wp:effectExtent l="0" t="0" r="0" b="0"/>
                <wp:wrapNone/>
                <wp:docPr id="1" name="Frame1"/>
                <a:graphic xmlns:a="http://schemas.openxmlformats.org/drawingml/2006/main">
                  <a:graphicData uri="http://schemas.microsoft.com/office/word/2010/wordprocessingShape">
                    <wps:wsp>
                      <wps:cNvSpPr txBox="1"/>
                      <wps:spPr>
                        <a:xfrm>
                          <a:off x="0" y="0"/>
                          <a:ext cx="1718310" cy="1006475"/>
                        </a:xfrm>
                        <a:prstGeom prst="rect"/>
                        <a:solidFill>
                          <a:srgbClr val="FFFFFF">
                            <a:alpha val="0"/>
                          </a:srgbClr>
                        </a:solidFill>
                      </wps:spPr>
                      <wps:txbx>
                        <w:txbxContent>
                          <w:p>
                            <w:pPr>
                              <w:pStyle w:val="Normal"/>
                              <w:keepNext w:val="true"/>
                              <w:keepLines/>
                              <w:rPr>
                                <w:rFonts w:ascii="Book Antiqua" w:hAnsi="Book Antiqua" w:cs="Book Antiqua"/>
                                <w:i/>
                                <w:i/>
                                <w:sz w:val="18"/>
                              </w:rPr>
                            </w:pPr>
                            <w:r>
                              <w:rPr>
                                <w:rFonts w:cs="Univers;Arial" w:ascii="Univers;Arial" w:hAnsi="Univers;Arial"/>
                                <w:b/>
                                <w:sz w:val="18"/>
                              </w:rPr>
                              <w:t>Enron Australia Pty. Limited</w:t>
                            </w:r>
                          </w:p>
                          <w:p>
                            <w:pPr>
                              <w:pStyle w:val="Normal"/>
                              <w:keepNext w:val="true"/>
                              <w:keepLines/>
                              <w:rPr/>
                            </w:pPr>
                            <w:r>
                              <w:rPr>
                                <w:rFonts w:cs="Albertus Extra Bold" w:ascii="Albertus Extra Bold" w:hAnsi="Albertus Extra Bold"/>
                                <w:b/>
                                <w:i/>
                                <w:sz w:val="16"/>
                              </w:rPr>
                              <w:br/>
                            </w:r>
                            <w:r>
                              <w:rPr>
                                <w:rFonts w:cs="Book Antiqua" w:ascii="Book Antiqua" w:hAnsi="Book Antiqua"/>
                                <w:i/>
                                <w:sz w:val="16"/>
                              </w:rPr>
                              <w:t>Level 21</w:t>
                            </w:r>
                          </w:p>
                          <w:p>
                            <w:pPr>
                              <w:pStyle w:val="Normal"/>
                              <w:keepNext w:val="true"/>
                              <w:keepLines/>
                              <w:rPr>
                                <w:rFonts w:ascii="Book Antiqua" w:hAnsi="Book Antiqua" w:cs="Book Antiqua"/>
                                <w:i/>
                                <w:i/>
                                <w:sz w:val="16"/>
                              </w:rPr>
                            </w:pPr>
                            <w:r>
                              <w:rPr>
                                <w:rFonts w:cs="Book Antiqua" w:ascii="Book Antiqua" w:hAnsi="Book Antiqua"/>
                                <w:i/>
                                <w:sz w:val="16"/>
                              </w:rPr>
                              <w:t>9 Castlereagh Street</w:t>
                            </w:r>
                          </w:p>
                          <w:p>
                            <w:pPr>
                              <w:pStyle w:val="Normal"/>
                              <w:keepNext w:val="true"/>
                              <w:keepLines/>
                              <w:rPr>
                                <w:rFonts w:ascii="Book Antiqua" w:hAnsi="Book Antiqua" w:cs="Book Antiqua"/>
                                <w:i/>
                                <w:i/>
                                <w:sz w:val="16"/>
                              </w:rPr>
                            </w:pPr>
                            <w:r>
                              <w:rPr>
                                <w:rFonts w:cs="Book Antiqua" w:ascii="Book Antiqua" w:hAnsi="Book Antiqua"/>
                                <w:i/>
                                <w:sz w:val="16"/>
                              </w:rPr>
                              <w:t>Sydney NSW 2000</w:t>
                            </w:r>
                          </w:p>
                          <w:p>
                            <w:pPr>
                              <w:pStyle w:val="Normal"/>
                              <w:keepNext w:val="true"/>
                              <w:keepLines/>
                              <w:rPr>
                                <w:rFonts w:ascii="Book Antiqua" w:hAnsi="Book Antiqua" w:cs="Book Antiqua"/>
                                <w:i/>
                                <w:i/>
                                <w:sz w:val="16"/>
                              </w:rPr>
                            </w:pPr>
                            <w:r>
                              <w:rPr>
                                <w:rFonts w:cs="Book Antiqua" w:ascii="Book Antiqua" w:hAnsi="Book Antiqua"/>
                                <w:i/>
                                <w:sz w:val="16"/>
                              </w:rPr>
                              <w:t>Australia</w:t>
                            </w:r>
                          </w:p>
                          <w:p>
                            <w:pPr>
                              <w:pStyle w:val="Normal"/>
                              <w:keepNext w:val="true"/>
                              <w:keepLines/>
                              <w:tabs>
                                <w:tab w:val="clear" w:pos="720"/>
                                <w:tab w:val="left" w:pos="360" w:leader="none"/>
                              </w:tabs>
                              <w:rPr>
                                <w:rFonts w:ascii="Book Antiqua" w:hAnsi="Book Antiqua" w:cs="Book Antiqua"/>
                                <w:i/>
                                <w:i/>
                                <w:sz w:val="16"/>
                              </w:rPr>
                            </w:pPr>
                            <w:r>
                              <w:rPr>
                                <w:rFonts w:cs="Book Antiqua" w:ascii="Book Antiqua" w:hAnsi="Book Antiqua"/>
                                <w:i/>
                                <w:sz w:val="16"/>
                              </w:rPr>
                              <w:t>Tel:</w:t>
                              <w:tab/>
                              <w:t>61 (02) 9229 2300</w:t>
                            </w:r>
                          </w:p>
                          <w:p>
                            <w:pPr>
                              <w:pStyle w:val="Normal"/>
                              <w:keepNext w:val="true"/>
                              <w:keepLines/>
                              <w:tabs>
                                <w:tab w:val="clear" w:pos="720"/>
                                <w:tab w:val="left" w:pos="360" w:leader="none"/>
                              </w:tabs>
                              <w:rPr>
                                <w:rFonts w:ascii="Book Antiqua" w:hAnsi="Book Antiqua" w:cs="Book Antiqua"/>
                                <w:i/>
                                <w:i/>
                                <w:sz w:val="16"/>
                              </w:rPr>
                            </w:pPr>
                            <w:r>
                              <w:rPr>
                                <w:rFonts w:cs="Book Antiqua" w:ascii="Book Antiqua" w:hAnsi="Book Antiqua"/>
                                <w:i/>
                                <w:sz w:val="16"/>
                              </w:rPr>
                              <w:t>Fax:</w:t>
                              <w:tab/>
                              <w:t>61 (02) 9229 2350</w:t>
                            </w:r>
                          </w:p>
                        </w:txbxContent>
                      </wps:txbx>
                      <wps:bodyPr anchor="t" lIns="13335" tIns="13335" rIns="13335" bIns="13335">
                        <a:noAutofit/>
                      </wps:bodyPr>
                    </wps:wsp>
                  </a:graphicData>
                </a:graphic>
              </wp:anchor>
            </w:drawing>
          </mc:Choice>
          <mc:Fallback>
            <w:pict>
              <v:rect fillcolor="#FFFFFF" style="position:absolute;rotation:-0;width:135.3pt;height:79.25pt;mso-wrap-distance-left:9.05pt;mso-wrap-distance-right:9.05pt;mso-wrap-distance-top:0pt;mso-wrap-distance-bottom:0pt;margin-top:4.2pt;mso-position-vertical-relative:text;margin-left:339.9pt;mso-position-horizontal-relative:text">
                <v:fill opacity="0f"/>
                <v:textbox inset="0.0145833333333333in,0.0145833333333333in,0.0145833333333333in,0.0145833333333333in">
                  <w:txbxContent>
                    <w:p>
                      <w:pPr>
                        <w:pStyle w:val="Normal"/>
                        <w:keepNext w:val="true"/>
                        <w:keepLines/>
                        <w:rPr>
                          <w:rFonts w:ascii="Book Antiqua" w:hAnsi="Book Antiqua" w:cs="Book Antiqua"/>
                          <w:i/>
                          <w:i/>
                          <w:sz w:val="18"/>
                        </w:rPr>
                      </w:pPr>
                      <w:r>
                        <w:rPr>
                          <w:rFonts w:cs="Univers;Arial" w:ascii="Univers;Arial" w:hAnsi="Univers;Arial"/>
                          <w:b/>
                          <w:sz w:val="18"/>
                        </w:rPr>
                        <w:t>Enron Australia Pty. Limited</w:t>
                      </w:r>
                    </w:p>
                    <w:p>
                      <w:pPr>
                        <w:pStyle w:val="Normal"/>
                        <w:keepNext w:val="true"/>
                        <w:keepLines/>
                        <w:rPr/>
                      </w:pPr>
                      <w:r>
                        <w:rPr>
                          <w:rFonts w:cs="Albertus Extra Bold" w:ascii="Albertus Extra Bold" w:hAnsi="Albertus Extra Bold"/>
                          <w:b/>
                          <w:i/>
                          <w:sz w:val="16"/>
                        </w:rPr>
                        <w:br/>
                      </w:r>
                      <w:r>
                        <w:rPr>
                          <w:rFonts w:cs="Book Antiqua" w:ascii="Book Antiqua" w:hAnsi="Book Antiqua"/>
                          <w:i/>
                          <w:sz w:val="16"/>
                        </w:rPr>
                        <w:t>Level 21</w:t>
                      </w:r>
                    </w:p>
                    <w:p>
                      <w:pPr>
                        <w:pStyle w:val="Normal"/>
                        <w:keepNext w:val="true"/>
                        <w:keepLines/>
                        <w:rPr>
                          <w:rFonts w:ascii="Book Antiqua" w:hAnsi="Book Antiqua" w:cs="Book Antiqua"/>
                          <w:i/>
                          <w:i/>
                          <w:sz w:val="16"/>
                        </w:rPr>
                      </w:pPr>
                      <w:r>
                        <w:rPr>
                          <w:rFonts w:cs="Book Antiqua" w:ascii="Book Antiqua" w:hAnsi="Book Antiqua"/>
                          <w:i/>
                          <w:sz w:val="16"/>
                        </w:rPr>
                        <w:t>9 Castlereagh Street</w:t>
                      </w:r>
                    </w:p>
                    <w:p>
                      <w:pPr>
                        <w:pStyle w:val="Normal"/>
                        <w:keepNext w:val="true"/>
                        <w:keepLines/>
                        <w:rPr>
                          <w:rFonts w:ascii="Book Antiqua" w:hAnsi="Book Antiqua" w:cs="Book Antiqua"/>
                          <w:i/>
                          <w:i/>
                          <w:sz w:val="16"/>
                        </w:rPr>
                      </w:pPr>
                      <w:r>
                        <w:rPr>
                          <w:rFonts w:cs="Book Antiqua" w:ascii="Book Antiqua" w:hAnsi="Book Antiqua"/>
                          <w:i/>
                          <w:sz w:val="16"/>
                        </w:rPr>
                        <w:t>Sydney NSW 2000</w:t>
                      </w:r>
                    </w:p>
                    <w:p>
                      <w:pPr>
                        <w:pStyle w:val="Normal"/>
                        <w:keepNext w:val="true"/>
                        <w:keepLines/>
                        <w:rPr>
                          <w:rFonts w:ascii="Book Antiqua" w:hAnsi="Book Antiqua" w:cs="Book Antiqua"/>
                          <w:i/>
                          <w:i/>
                          <w:sz w:val="16"/>
                        </w:rPr>
                      </w:pPr>
                      <w:r>
                        <w:rPr>
                          <w:rFonts w:cs="Book Antiqua" w:ascii="Book Antiqua" w:hAnsi="Book Antiqua"/>
                          <w:i/>
                          <w:sz w:val="16"/>
                        </w:rPr>
                        <w:t>Australia</w:t>
                      </w:r>
                    </w:p>
                    <w:p>
                      <w:pPr>
                        <w:pStyle w:val="Normal"/>
                        <w:keepNext w:val="true"/>
                        <w:keepLines/>
                        <w:tabs>
                          <w:tab w:val="clear" w:pos="720"/>
                          <w:tab w:val="left" w:pos="360" w:leader="none"/>
                        </w:tabs>
                        <w:rPr>
                          <w:rFonts w:ascii="Book Antiqua" w:hAnsi="Book Antiqua" w:cs="Book Antiqua"/>
                          <w:i/>
                          <w:i/>
                          <w:sz w:val="16"/>
                        </w:rPr>
                      </w:pPr>
                      <w:r>
                        <w:rPr>
                          <w:rFonts w:cs="Book Antiqua" w:ascii="Book Antiqua" w:hAnsi="Book Antiqua"/>
                          <w:i/>
                          <w:sz w:val="16"/>
                        </w:rPr>
                        <w:t>Tel:</w:t>
                        <w:tab/>
                        <w:t>61 (02) 9229 2300</w:t>
                      </w:r>
                    </w:p>
                    <w:p>
                      <w:pPr>
                        <w:pStyle w:val="Normal"/>
                        <w:keepNext w:val="true"/>
                        <w:keepLines/>
                        <w:tabs>
                          <w:tab w:val="clear" w:pos="720"/>
                          <w:tab w:val="left" w:pos="360" w:leader="none"/>
                        </w:tabs>
                        <w:rPr>
                          <w:rFonts w:ascii="Book Antiqua" w:hAnsi="Book Antiqua" w:cs="Book Antiqua"/>
                          <w:i/>
                          <w:i/>
                          <w:sz w:val="16"/>
                        </w:rPr>
                      </w:pPr>
                      <w:r>
                        <w:rPr>
                          <w:rFonts w:cs="Book Antiqua" w:ascii="Book Antiqua" w:hAnsi="Book Antiqua"/>
                          <w:i/>
                          <w:sz w:val="16"/>
                        </w:rPr>
                        <w:t>Fax:</w:t>
                        <w:tab/>
                        <w:t>61 (02) 9229 2350</w:t>
                      </w:r>
                    </w:p>
                  </w:txbxContent>
                </v:textbox>
                <w10:wrap type="none"/>
              </v:rect>
            </w:pict>
          </mc:Fallback>
        </mc:AlternateContent>
      </w:r>
    </w:p>
    <w:p>
      <w:pPr>
        <w:pStyle w:val="Normal"/>
        <w:rPr/>
      </w:pPr>
      <w:r>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8 September 2000</w:t>
      </w:r>
    </w:p>
    <w:p>
      <w:pPr>
        <w:pStyle w:val="Normal"/>
        <w:jc w:val="both"/>
        <w:rPr>
          <w:sz w:val="22"/>
        </w:rPr>
      </w:pPr>
      <w:r>
        <w:rPr>
          <w:sz w:val="22"/>
        </w:rPr>
      </w:r>
    </w:p>
    <w:p>
      <w:pPr>
        <w:pStyle w:val="Normal"/>
        <w:jc w:val="both"/>
        <w:rPr>
          <w:sz w:val="22"/>
        </w:rPr>
      </w:pPr>
      <w:r>
        <w:rPr>
          <w:sz w:val="22"/>
        </w:rPr>
        <w:t>International Swaps and Derivatives Association</w:t>
      </w:r>
    </w:p>
    <w:p>
      <w:pPr>
        <w:pStyle w:val="Normal"/>
        <w:jc w:val="both"/>
        <w:rPr>
          <w:sz w:val="22"/>
        </w:rPr>
      </w:pPr>
      <w:r>
        <w:rPr>
          <w:sz w:val="22"/>
        </w:rPr>
        <w:t>Mr. Bob Pickel</w:t>
      </w:r>
    </w:p>
    <w:p>
      <w:pPr>
        <w:pStyle w:val="Normal"/>
        <w:jc w:val="both"/>
        <w:rPr>
          <w:sz w:val="22"/>
        </w:rPr>
      </w:pPr>
      <w:r>
        <w:rPr>
          <w:sz w:val="22"/>
        </w:rPr>
        <w:t>General Counsel</w:t>
      </w:r>
    </w:p>
    <w:p>
      <w:pPr>
        <w:pStyle w:val="Normal"/>
        <w:jc w:val="both"/>
        <w:rPr/>
      </w:pPr>
      <w:r>
        <w:rPr>
          <w:sz w:val="22"/>
        </w:rPr>
        <w:t>600 Fifth Avenue, 27</w:t>
      </w:r>
      <w:r>
        <w:rPr>
          <w:sz w:val="22"/>
          <w:vertAlign w:val="superscript"/>
        </w:rPr>
        <w:t>th</w:t>
      </w:r>
      <w:r>
        <w:rPr>
          <w:sz w:val="22"/>
        </w:rPr>
        <w:t xml:space="preserve"> Floor</w:t>
      </w:r>
    </w:p>
    <w:p>
      <w:pPr>
        <w:pStyle w:val="Normal"/>
        <w:jc w:val="both"/>
        <w:rPr>
          <w:sz w:val="22"/>
        </w:rPr>
      </w:pPr>
      <w:r>
        <w:rPr>
          <w:sz w:val="22"/>
        </w:rPr>
        <w:t>Rockefeller Center</w:t>
      </w:r>
    </w:p>
    <w:p>
      <w:pPr>
        <w:pStyle w:val="Normal"/>
        <w:jc w:val="both"/>
        <w:rPr>
          <w:sz w:val="22"/>
        </w:rPr>
      </w:pPr>
      <w:r>
        <w:rPr>
          <w:sz w:val="22"/>
        </w:rPr>
        <w:t>New York</w:t>
      </w:r>
    </w:p>
    <w:p>
      <w:pPr>
        <w:pStyle w:val="Normal"/>
        <w:jc w:val="both"/>
        <w:rPr>
          <w:sz w:val="22"/>
        </w:rPr>
      </w:pPr>
      <w:r>
        <w:rPr>
          <w:sz w:val="22"/>
        </w:rPr>
        <w:t>New York 10020-2302</w:t>
      </w:r>
    </w:p>
    <w:p>
      <w:pPr>
        <w:pStyle w:val="Normal"/>
        <w:jc w:val="both"/>
        <w:rPr>
          <w:sz w:val="22"/>
        </w:rPr>
      </w:pPr>
      <w:r>
        <w:rPr>
          <w:sz w:val="22"/>
        </w:rPr>
        <w:t>USA</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Dear Mr. Pickel,</w:t>
      </w:r>
    </w:p>
    <w:p>
      <w:pPr>
        <w:pStyle w:val="Normal"/>
        <w:jc w:val="both"/>
        <w:rPr>
          <w:sz w:val="22"/>
        </w:rPr>
      </w:pPr>
      <w:r>
        <w:rPr>
          <w:sz w:val="22"/>
        </w:rPr>
      </w:r>
    </w:p>
    <w:p>
      <w:pPr>
        <w:pStyle w:val="Heading4"/>
        <w:ind w:hanging="0" w:start="0"/>
        <w:rPr/>
      </w:pPr>
      <w:r>
        <w:rPr/>
        <w:t>Request for Proposal</w:t>
      </w:r>
    </w:p>
    <w:p>
      <w:pPr>
        <w:pStyle w:val="Normal"/>
        <w:jc w:val="both"/>
        <w:rPr>
          <w:sz w:val="22"/>
        </w:rPr>
      </w:pPr>
      <w:r>
        <w:rPr>
          <w:sz w:val="22"/>
        </w:rPr>
      </w:r>
    </w:p>
    <w:p>
      <w:pPr>
        <w:pStyle w:val="Normal"/>
        <w:jc w:val="both"/>
        <w:rPr>
          <w:sz w:val="22"/>
        </w:rPr>
      </w:pPr>
      <w:r>
        <w:rPr>
          <w:sz w:val="22"/>
        </w:rPr>
        <w:t>I refer to ISDA’s Request for Proposal dated 27 July 2000.</w:t>
      </w:r>
    </w:p>
    <w:p>
      <w:pPr>
        <w:pStyle w:val="Normal"/>
        <w:jc w:val="both"/>
        <w:rPr>
          <w:sz w:val="22"/>
        </w:rPr>
      </w:pPr>
      <w:r>
        <w:rPr>
          <w:sz w:val="22"/>
        </w:rPr>
      </w:r>
    </w:p>
    <w:p>
      <w:pPr>
        <w:pStyle w:val="Normal"/>
        <w:jc w:val="both"/>
        <w:rPr>
          <w:sz w:val="22"/>
        </w:rPr>
      </w:pPr>
      <w:r>
        <w:rPr>
          <w:sz w:val="22"/>
        </w:rPr>
        <w:t xml:space="preserve">The Proposal included in this communication is submitted on behalf of Enron Corp. and Mallesons Stephen Jaques Lawyers.  </w:t>
      </w:r>
    </w:p>
    <w:p>
      <w:pPr>
        <w:pStyle w:val="Normal"/>
        <w:jc w:val="both"/>
        <w:rPr>
          <w:sz w:val="22"/>
        </w:rPr>
      </w:pPr>
      <w:r>
        <w:rPr>
          <w:sz w:val="22"/>
        </w:rPr>
      </w:r>
    </w:p>
    <w:p>
      <w:pPr>
        <w:pStyle w:val="Normal"/>
        <w:jc w:val="both"/>
        <w:rPr>
          <w:sz w:val="22"/>
        </w:rPr>
      </w:pPr>
      <w:r>
        <w:rPr>
          <w:sz w:val="22"/>
        </w:rPr>
        <w:t>The fact that Enron has chosen to ally itself with an Australian based law firm is testament to the globalisation of ISDA documentation.</w:t>
      </w:r>
    </w:p>
    <w:p>
      <w:pPr>
        <w:pStyle w:val="Normal"/>
        <w:jc w:val="both"/>
        <w:rPr>
          <w:sz w:val="22"/>
        </w:rPr>
      </w:pPr>
      <w:r>
        <w:rPr>
          <w:sz w:val="22"/>
        </w:rPr>
      </w:r>
    </w:p>
    <w:p>
      <w:pPr>
        <w:pStyle w:val="Normal"/>
        <w:jc w:val="both"/>
        <w:rPr>
          <w:sz w:val="22"/>
        </w:rPr>
      </w:pPr>
      <w:r>
        <w:rPr>
          <w:sz w:val="22"/>
        </w:rPr>
        <w:t>Should you have any questions please do not hesitate to contact myself, or if you find it more convenient Mr. Harry Arora who is Vice President for eCommerce in Enron Net Works in Houston (Phone: 713 853 6750).</w:t>
      </w:r>
    </w:p>
    <w:p>
      <w:pPr>
        <w:pStyle w:val="Normal"/>
        <w:jc w:val="both"/>
        <w:rPr>
          <w:sz w:val="22"/>
        </w:rPr>
      </w:pPr>
      <w:r>
        <w:rPr>
          <w:sz w:val="22"/>
        </w:rPr>
      </w:r>
    </w:p>
    <w:p>
      <w:pPr>
        <w:pStyle w:val="Normal"/>
        <w:jc w:val="both"/>
        <w:rPr>
          <w:sz w:val="22"/>
        </w:rPr>
      </w:pPr>
      <w:r>
        <w:rPr>
          <w:sz w:val="22"/>
        </w:rPr>
        <w:t>We look forward to your response on this proposal.</w:t>
      </w:r>
    </w:p>
    <w:p>
      <w:pPr>
        <w:pStyle w:val="Normal"/>
        <w:jc w:val="both"/>
        <w:rPr>
          <w:sz w:val="22"/>
        </w:rPr>
      </w:pPr>
      <w:r>
        <w:rPr>
          <w:sz w:val="22"/>
        </w:rPr>
      </w:r>
    </w:p>
    <w:p>
      <w:pPr>
        <w:pStyle w:val="Normal"/>
        <w:jc w:val="both"/>
        <w:rPr>
          <w:sz w:val="22"/>
        </w:rPr>
      </w:pPr>
      <w:r>
        <w:rPr>
          <w:sz w:val="22"/>
        </w:rPr>
        <w:t>Regards,</w:t>
      </w:r>
    </w:p>
    <w:p>
      <w:pPr>
        <w:pStyle w:val="Normal"/>
        <w:jc w:val="both"/>
        <w:rPr>
          <w:sz w:val="22"/>
        </w:rPr>
      </w:pPr>
      <w:r>
        <w:rPr>
          <w:sz w:val="22"/>
        </w:rPr>
      </w:r>
    </w:p>
    <w:p>
      <w:pPr>
        <w:pStyle w:val="Normal"/>
        <w:jc w:val="both"/>
        <w:rPr>
          <w:sz w:val="22"/>
        </w:rPr>
      </w:pPr>
      <w:r>
        <w:rPr>
          <w:sz w:val="22"/>
        </w:rPr>
        <w:t>[Sgnd: Paul Quilkey]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Paul Quilkey</w:t>
      </w:r>
    </w:p>
    <w:p>
      <w:pPr>
        <w:pStyle w:val="Normal"/>
        <w:jc w:val="both"/>
        <w:rPr>
          <w:sz w:val="22"/>
        </w:rPr>
      </w:pPr>
      <w:r>
        <w:rPr>
          <w:sz w:val="22"/>
        </w:rPr>
        <w:t>Managing Director</w:t>
      </w:r>
    </w:p>
    <w:p>
      <w:pPr>
        <w:pStyle w:val="Normal"/>
        <w:jc w:val="both"/>
        <w:rPr>
          <w:sz w:val="22"/>
        </w:rPr>
      </w:pPr>
      <w:r>
        <w:rPr>
          <w:sz w:val="22"/>
        </w:rPr>
      </w:r>
    </w:p>
    <w:p>
      <w:pPr>
        <w:pStyle w:val="Normal"/>
        <w:jc w:val="both"/>
        <w:rPr>
          <w:sz w:val="22"/>
        </w:rPr>
      </w:pPr>
      <w:r>
        <w:rPr>
          <w:sz w:val="22"/>
        </w:rPr>
        <w:t>Encl.</w:t>
      </w:r>
    </w:p>
    <w:p>
      <w:pPr>
        <w:pStyle w:val="Normal"/>
        <w:rPr>
          <w:sz w:val="22"/>
        </w:rPr>
      </w:pPr>
      <w:r>
        <w:rPr>
          <w:sz w:val="22"/>
        </w:rPr>
      </w:r>
    </w:p>
    <w:p>
      <w:pPr>
        <w:pStyle w:val="Normal"/>
        <w:rPr/>
      </w:pPr>
      <w:r>
        <w:rPr/>
      </w:r>
    </w:p>
    <w:sectPr>
      <w:headerReference w:type="default" r:id="rId4"/>
      <w:footerReference w:type="default" r:id="rId5"/>
      <w:type w:val="nextPage"/>
      <w:pgSz w:w="11906" w:h="16838"/>
      <w:pgMar w:left="1440" w:right="1800" w:gutter="0" w:header="720" w:top="1008"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Univers">
    <w:altName w:val="Arial"/>
    <w:charset w:val="00" w:characterSet="windows-1252"/>
    <w:family w:val="swiss"/>
    <w:pitch w:val="variable"/>
  </w:font>
  <w:font w:name="Book Antiqua">
    <w:charset w:val="00" w:characterSet="windows-1252"/>
    <w:family w:val="roman"/>
    <w:pitch w:val="variable"/>
  </w:font>
  <w:font w:name="Albertus Extra Bol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Univers;Arial" w:hAnsi="Univers;Arial" w:cs="Univers;Arial"/>
        <w:b/>
      </w:rPr>
    </w:pPr>
    <w:r>
      <w:rPr>
        <w:rFonts w:cs="Univers;Arial" w:ascii="Univers;Arial" w:hAnsi="Univers;Arial"/>
        <w:b/>
      </w:rPr>
      <w:t>Natural gas. Electricity. Endless possibilities.</w:t>
    </w:r>
  </w:p>
  <w:p>
    <w:pPr>
      <w:pStyle w:val="Footer"/>
      <w:jc w:val="center"/>
      <w:rPr>
        <w:rFonts w:ascii="Univers;Arial" w:hAnsi="Univers;Arial" w:cs="Univers;Arial"/>
        <w:b/>
        <w:sz w:val="18"/>
      </w:rPr>
    </w:pPr>
    <w:r>
      <w:rPr>
        <w:rFonts w:cs="Univers;Arial" w:ascii="Univers;Arial" w:hAnsi="Univers;Arial"/>
        <w:b/>
        <w:sz w:val="18"/>
      </w:rPr>
      <w:t>Enron Australia Pty. Limited A.C.N. 082 245 903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4">
    <w:name w:val="heading 4"/>
    <w:basedOn w:val="Normal"/>
    <w:next w:val="Normal"/>
    <w:qFormat/>
    <w:pPr>
      <w:keepNext w:val="true"/>
      <w:numPr>
        <w:ilvl w:val="3"/>
        <w:numId w:val="1"/>
      </w:numPr>
      <w:jc w:val="both"/>
      <w:outlineLvl w:val="3"/>
    </w:pPr>
    <w:rPr>
      <w:b/>
      <w:bCs/>
      <w:sz w:val="22"/>
      <w:lang w:val="en-AU"/>
    </w:rPr>
  </w:style>
  <w:style w:type="character" w:styleId="DefaultParagraphFont">
    <w:name w:val="Default Paragraph Font"/>
    <w:qFormat/>
    <w:rPr/>
  </w:style>
  <w:style w:type="character" w:styleId="MessageHeaderLabel">
    <w:name w:val="Message Header Label"/>
    <w:qFormat/>
    <w:rPr>
      <w:rFonts w:ascii="Arial Black" w:hAnsi="Arial Black" w:cs="Arial Black"/>
      <w:sz w:val="18"/>
    </w:rPr>
  </w:style>
  <w:style w:type="character" w:styleId="Emphasis">
    <w:name w:val="Emphasis"/>
    <w:qFormat/>
    <w:rPr>
      <w:rFonts w:ascii="Arial Black" w:hAnsi="Arial Black" w:cs="Arial Black"/>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MessageHeader">
    <w:name w:val="Message Header"/>
    <w:basedOn w:val="BodyText"/>
    <w:qFormat/>
    <w:pPr>
      <w:keepLines/>
      <w:pBdr>
        <w:bottom w:val="single" w:sz="6" w:space="2" w:color="000000"/>
      </w:pBdr>
      <w:tabs>
        <w:tab w:val="left" w:pos="720" w:leader="none"/>
        <w:tab w:val="left" w:pos="4320" w:leader="none"/>
        <w:tab w:val="left" w:pos="5040" w:leader="none"/>
        <w:tab w:val="right" w:pos="8640" w:leader="none"/>
      </w:tabs>
      <w:spacing w:lineRule="atLeast" w:line="440" w:before="0" w:after="0"/>
      <w:ind w:hanging="720" w:start="720" w:end="0"/>
    </w:pPr>
    <w:rPr>
      <w:spacing w:val="-5"/>
      <w:lang w:val="en-GB"/>
    </w:rPr>
  </w:style>
  <w:style w:type="paragraph" w:styleId="DocumentLabel">
    <w:name w:val="Document Label"/>
    <w:basedOn w:val="Normal"/>
    <w:qFormat/>
    <w:pPr>
      <w:keepNext w:val="true"/>
      <w:keepLines/>
      <w:spacing w:lineRule="atLeast" w:line="240" w:before="400" w:after="120"/>
      <w:ind w:hanging="0" w:start="-840" w:end="0"/>
    </w:pPr>
    <w:rPr>
      <w:rFonts w:ascii="Arial Black" w:hAnsi="Arial Black" w:cs="Arial Black"/>
      <w:spacing w:val="-100"/>
      <w:kern w:val="2"/>
      <w:sz w:val="108"/>
      <w:lang w:val="en-GB"/>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19" w:color="000000"/>
      </w:pBdr>
      <w:tabs>
        <w:tab w:val="clear" w:pos="720"/>
        <w:tab w:val="clear" w:pos="4320"/>
        <w:tab w:val="clear" w:pos="5040"/>
        <w:tab w:val="clear" w:pos="8640"/>
        <w:tab w:val="left" w:pos="1181" w:leader="none"/>
        <w:tab w:val="left" w:pos="2765" w:leader="none"/>
        <w:tab w:val="left" w:pos="4853" w:leader="none"/>
        <w:tab w:val="right" w:pos="8309" w:leader="none"/>
      </w:tabs>
      <w:spacing w:before="120" w:after="120"/>
      <w:ind w:hanging="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~0058561.dot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2000-09-07T18:59:00Z</dcterms:created>
  <dc:creator>Jeffrey M. Bartlett</dc:creator>
  <dc:description/>
  <dc:language>en-CA</dc:language>
  <cp:lastModifiedBy>ENRON</cp:lastModifiedBy>
  <cp:lastPrinted>1998-10-06T09:31:00Z</cp:lastPrinted>
  <dcterms:modified xsi:type="dcterms:W3CDTF">2000-09-08T12:49:00Z</dcterms:modified>
  <cp:revision>2</cp:revision>
  <dc:subject/>
  <dc:title> </dc:title>
</cp:coreProperties>
</file>