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Normal"/>
        <w:jc w:val="end"/>
        <w:rPr>
          <w:b/>
          <w:bCs/>
          <w:sz w:val="22"/>
          <w:szCs w:val="22"/>
        </w:rPr>
      </w:pPr>
      <w:r>
        <w:rPr>
          <w:b/>
          <w:bCs/>
          <w:sz w:val="22"/>
          <w:szCs w:val="22"/>
        </w:rPr>
        <w:t>(Sample – Municipal)</w:t>
      </w:r>
    </w:p>
    <w:p>
      <w:pPr>
        <w:pStyle w:val="Normal"/>
        <w:jc w:val="end"/>
        <w:rPr>
          <w:b/>
          <w:bCs/>
          <w:sz w:val="22"/>
          <w:szCs w:val="22"/>
          <w:u w:val="single"/>
        </w:rPr>
      </w:pPr>
      <w:r>
        <w:rPr>
          <w:b/>
          <w:bCs/>
          <w:sz w:val="22"/>
          <w:szCs w:val="22"/>
          <w:u w:val="single"/>
        </w:rPr>
        <w:t>DRAFT OF 08/28/2000</w:t>
      </w:r>
    </w:p>
    <w:p>
      <w:pPr>
        <w:pStyle w:val="Normal"/>
        <w:jc w:val="end"/>
        <w:rPr>
          <w:b/>
          <w:bCs/>
          <w:sz w:val="22"/>
          <w:szCs w:val="22"/>
          <w:u w:val="single"/>
        </w:rPr>
      </w:pPr>
      <w:r>
        <w:rPr>
          <w:b/>
          <w:bCs/>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_____________________________________, a _____________ organized under the law of the ____________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$____________ (or its equivalent in another currency); and with respect to Party B, U.S. $____________ (or its equivalent in another currency); and with respect to Party B’s Credit Support Provider, U.S. $__________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szCs w:val="20"/>
        </w:rPr>
        <w:t>(c)</w:t>
      </w:r>
      <w:r>
        <w:rPr/>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720" w:end="720"/>
        <w:jc w:val="both"/>
        <w:rPr>
          <w:color w:val="800080"/>
          <w:sz w:val="22"/>
          <w:szCs w:val="22"/>
        </w:rPr>
      </w:pPr>
      <w:r>
        <w:rPr>
          <w:sz w:val="22"/>
          <w:szCs w:val="22"/>
        </w:rPr>
        <w:t xml:space="preserve">Party B is a </w:t>
      </w:r>
      <w:r>
        <w:rPr>
          <w:sz w:val="22"/>
          <w:szCs w:val="22"/>
          <w:u w:val="single"/>
        </w:rPr>
        <w:t xml:space="preserve">                      </w:t>
      </w:r>
      <w:r>
        <w:rPr>
          <w:sz w:val="22"/>
          <w:szCs w:val="22"/>
        </w:rPr>
        <w:t xml:space="preserve"> organized under the laws of the State of </w:t>
      </w:r>
      <w:r>
        <w:rPr>
          <w:color w:val="FF0000"/>
          <w:sz w:val="22"/>
          <w:szCs w:val="22"/>
        </w:rPr>
        <w:t>[</w:t>
      </w:r>
      <w:r>
        <w:rPr>
          <w:color w:val="FF0000"/>
          <w:sz w:val="22"/>
          <w:szCs w:val="22"/>
          <w:u w:val="single"/>
        </w:rPr>
        <w:t xml:space="preserve">                         </w:t>
      </w:r>
      <w:r>
        <w:rPr>
          <w:color w:val="FF0000"/>
          <w:sz w:val="22"/>
          <w:szCs w:val="22"/>
        </w:rPr>
        <w:t>]</w:t>
      </w:r>
      <w:r>
        <w:rPr>
          <w:sz w:val="22"/>
          <w:szCs w:val="22"/>
        </w:rPr>
        <w:t>.</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Normal"/>
              <w:spacing w:lineRule="atLeast" w:line="240" w:before="240" w:after="0"/>
              <w:rPr>
                <w:sz w:val="22"/>
                <w:szCs w:val="22"/>
              </w:rPr>
            </w:pPr>
            <w:r>
              <w:rPr>
                <w:b/>
                <w:bCs/>
                <w:sz w:val="22"/>
                <w:szCs w:val="22"/>
              </w:rPr>
              <w:t>Party required to deliver document</w:t>
            </w:r>
          </w:p>
        </w:tc>
        <w:tc>
          <w:tcPr>
            <w:tcW w:w="3886" w:type="dxa"/>
            <w:tcBorders/>
          </w:tcPr>
          <w:p>
            <w:pPr>
              <w:pStyle w:val="Normal"/>
              <w:spacing w:lineRule="atLeast" w:line="240" w:before="240" w:after="0"/>
              <w:rPr>
                <w:sz w:val="22"/>
                <w:szCs w:val="22"/>
                <w:u w:val="single"/>
              </w:rPr>
            </w:pPr>
            <w:r>
              <w:rPr>
                <w:b/>
                <w:bCs/>
                <w:sz w:val="22"/>
                <w:szCs w:val="22"/>
              </w:rPr>
              <w:t>Form/Document/Certificate</w:t>
            </w:r>
          </w:p>
        </w:tc>
        <w:tc>
          <w:tcPr>
            <w:tcW w:w="2228" w:type="dxa"/>
            <w:tcBorders/>
          </w:tcPr>
          <w:p>
            <w:pPr>
              <w:pStyle w:val="Normal"/>
              <w:spacing w:lineRule="atLeast" w:line="240" w:before="240" w:after="0"/>
              <w:rPr>
                <w:sz w:val="22"/>
                <w:szCs w:val="22"/>
              </w:rPr>
            </w:pPr>
            <w:r>
              <w:rPr>
                <w:b/>
                <w:bCs/>
                <w:sz w:val="22"/>
                <w:szCs w:val="22"/>
              </w:rPr>
              <w:t>Date by which to be delivered</w:t>
            </w:r>
          </w:p>
        </w:tc>
        <w:tc>
          <w:tcPr>
            <w:tcW w:w="1985" w:type="dxa"/>
            <w:tcBorders/>
          </w:tcPr>
          <w:p>
            <w:pPr>
              <w:pStyle w:val="Normal"/>
              <w:spacing w:lineRule="atLeast" w:line="240" w:before="240" w:after="0"/>
              <w:rPr>
                <w:sz w:val="22"/>
                <w:szCs w:val="22"/>
              </w:rPr>
            </w:pPr>
            <w:r>
              <w:rPr>
                <w:b/>
                <w:bCs/>
                <w:sz w:val="22"/>
                <w:szCs w:val="22"/>
              </w:rPr>
              <w:t>Covered by Section 3(d) Representation</w:t>
              <w:br/>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both"/>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[and][Party B’s Credit Support Provider]</w:t>
            </w:r>
          </w:p>
        </w:tc>
        <w:tc>
          <w:tcPr>
            <w:tcW w:w="1985"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jc w:val="both"/>
              <w:rPr>
                <w:sz w:val="22"/>
                <w:szCs w:val="22"/>
              </w:rPr>
            </w:pPr>
            <w:r>
              <w:rPr>
                <w:sz w:val="22"/>
                <w:szCs w:val="22"/>
              </w:rPr>
              <w:t>Promptly following demand by Party A, but in no event later than 60 days after the end of each of the first three fiscal quarters of each fiscal year of [Party B][and][Party B’s Credit Support Provider]</w:t>
            </w:r>
          </w:p>
        </w:tc>
        <w:tc>
          <w:tcPr>
            <w:tcW w:w="1985" w:type="dxa"/>
            <w:tcBorders/>
          </w:tcPr>
          <w:p>
            <w:pPr>
              <w:pStyle w:val="Normal"/>
              <w:spacing w:lineRule="atLeast" w:line="240" w:before="240" w:after="0"/>
              <w:jc w:val="both"/>
              <w:rPr>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both"/>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____________________ in favor of Party A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[_______].</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w:t>
      </w:r>
      <w:r>
        <w:rPr>
          <w:sz w:val="22"/>
          <w:szCs w:val="22"/>
          <w:u w:val="single"/>
        </w:rPr>
        <w:t xml:space="preserve">                     </w:t>
      </w:r>
      <w:r>
        <w:rPr>
          <w:sz w:val="22"/>
          <w:szCs w:val="22"/>
        </w:rPr>
        <w:t>] on the date of this Agreement at [______________].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(or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 </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Normal"/>
        <w:jc w:val="both"/>
        <w:rPr>
          <w:sz w:val="22"/>
          <w:szCs w:val="22"/>
        </w:rPr>
      </w:pPr>
      <w:r>
        <w:rPr>
          <w:sz w:val="22"/>
          <w:szCs w:val="22"/>
        </w:rPr>
        <w:t xml:space="preserve">termination of this Agreement pursuant to the terms hereof shall remain, payable solely out of or from </w:t>
      </w:r>
      <w:r>
        <w:rPr>
          <w:i/>
          <w:iCs/>
          <w:sz w:val="22"/>
          <w:szCs w:val="22"/>
        </w:rPr>
        <w:t>[specify source of payments]_______________________________________.</w:t>
      </w:r>
      <w:r>
        <w:rPr>
          <w:i/>
          <w:iCs/>
          <w:sz w:val="22"/>
          <w:szCs w:val="22"/>
          <w:u w:val="single"/>
        </w:rPr>
        <w:t xml:space="preserve">                                </w:t>
      </w:r>
    </w:p>
    <w:p>
      <w:pPr>
        <w:pStyle w:val="Normal"/>
        <w:jc w:val="both"/>
        <w:rPr>
          <w:sz w:val="22"/>
          <w:szCs w:val="22"/>
        </w:rPr>
      </w:pPr>
      <w:r>
        <w:rPr>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(o)</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pPr>
      <w:r>
        <w:rPr>
          <w:color w:val="000000"/>
          <w:sz w:val="22"/>
          <w:szCs w:val="22"/>
        </w:rPr>
        <w:t>“</w:t>
      </w:r>
      <w:r>
        <w:rPr>
          <w:color w:val="000000"/>
          <w:sz w:val="22"/>
          <w:szCs w:val="22"/>
        </w:rPr>
        <w:t>(c)  Party A may transfer its rights and obligations under this Agreement, in whole but not in part, to any Affiliate hereunder, provided that such transfer will not give rise to a Termination Event or an Event of Default.”</w:t>
      </w:r>
      <w:r>
        <w:rPr>
          <w:sz w:val="22"/>
          <w:szCs w:val="22"/>
        </w:rPr>
        <w:t xml:space="preserve"> </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(t)</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(u)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sz w:val="22"/>
          <w:szCs w:val="22"/>
        </w:rPr>
      </w:pPr>
      <w:r>
        <w:rPr>
          <w:sz w:val="22"/>
          <w:szCs w:val="22"/>
        </w:rPr>
        <w:t>(v)</w:t>
        <w:tab/>
        <w:t>Additional Definitions.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spacing w:lineRule="exact" w:line="240"/>
        <w:ind w:hanging="720" w:start="1440" w:end="0"/>
        <w:jc w:val="both"/>
        <w:rPr>
          <w:sz w:val="22"/>
          <w:szCs w:val="22"/>
        </w:rPr>
      </w:pPr>
      <w:r>
        <w:rPr>
          <w:sz w:val="22"/>
          <w:szCs w:val="22"/>
        </w:rPr>
        <w:t>(i)</w:t>
        <w:tab/>
      </w:r>
      <w:r>
        <w:rPr>
          <w:b/>
          <w:bCs/>
          <w:sz w:val="22"/>
          <w:szCs w:val="22"/>
        </w:rPr>
        <w:t>“Authorizing Law”</w:t>
      </w:r>
      <w:r>
        <w:rPr>
          <w:sz w:val="22"/>
          <w:szCs w:val="22"/>
        </w:rPr>
        <w:t xml:space="preserve"> means </w:t>
      </w:r>
      <w:r>
        <w:rPr>
          <w:i/>
          <w:iCs/>
          <w:sz w:val="22"/>
          <w:szCs w:val="22"/>
        </w:rPr>
        <w:t>[specify any statute(s) authorizing Party B to enter into the Swap Agreement and related documents, and to pledge revenues hereunder and thereunder]___________________________________________.</w:t>
      </w:r>
    </w:p>
    <w:p>
      <w:pPr>
        <w:pStyle w:val="Normal"/>
        <w:spacing w:lineRule="exact" w:line="240"/>
        <w:ind w:start="720" w:end="0"/>
        <w:jc w:val="both"/>
        <w:rPr>
          <w:sz w:val="22"/>
          <w:szCs w:val="22"/>
        </w:rPr>
      </w:pPr>
      <w:r>
        <w:rPr>
          <w:sz w:val="22"/>
          <w:szCs w:val="22"/>
        </w:rPr>
      </w:r>
    </w:p>
    <w:p>
      <w:pPr>
        <w:pStyle w:val="Normal"/>
        <w:numPr>
          <w:ilvl w:val="0"/>
          <w:numId w:val="2"/>
        </w:numPr>
        <w:spacing w:lineRule="exact" w:line="240"/>
        <w:jc w:val="both"/>
        <w:rPr>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r>
    </w:p>
    <w:p>
      <w:pPr>
        <w:pStyle w:val="Normal"/>
        <w:keepNext w:val="true"/>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COUNTERPARTY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rPr>
          <w:sz w:val="22"/>
          <w:szCs w:val="22"/>
        </w:rPr>
      </w:pPr>
      <w:r>
        <w:rPr>
          <w:sz w:val="22"/>
          <w:szCs w:val="22"/>
        </w:rPr>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[Assuming that they were governed by and construed in accordance with the laws of, and judicial decisions of the courts in, the Relevant Jurisdiction,]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Header"/>
        <w:widowControl/>
        <w:rPr>
          <w:sz w:val="22"/>
          <w:szCs w:val="22"/>
        </w:rPr>
      </w:pPr>
      <w:r>
        <w:rPr>
          <w:sz w:val="22"/>
          <w:szCs w:val="22"/>
        </w:rPr>
      </w:r>
    </w:p>
    <w:p>
      <w:pPr>
        <w:pStyle w:val="Heading6"/>
        <w:ind w:hanging="0" w:start="0"/>
        <w:rPr/>
      </w:pPr>
      <w:r>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_____________________________________,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keepLines/>
        <w:spacing w:lineRule="exact" w:line="240"/>
        <w:jc w:val="center"/>
        <w:rPr>
          <w:color w:val="000000"/>
          <w:sz w:val="22"/>
          <w:szCs w:val="22"/>
        </w:rPr>
      </w:pPr>
      <w:r>
        <w:rPr>
          <w:color w:val="000000"/>
          <w:sz w:val="22"/>
          <w:szCs w:val="22"/>
        </w:rPr>
      </w:r>
    </w:p>
    <w:p>
      <w:pPr>
        <w:sectPr>
          <w:headerReference w:type="default" r:id="rId14"/>
          <w:headerReference w:type="first" r:id="rId15"/>
          <w:footerReference w:type="default" r:id="rId16"/>
          <w:footerReference w:type="first" r:id="rId17"/>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Heading5"/>
        <w:rPr/>
      </w:pPr>
      <w:r>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GUARANTOR</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ind w:start="0" w:end="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_______________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Next w:val="true"/>
        <w:jc w:val="center"/>
        <w:rPr/>
      </w:pPr>
      <w:r>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/mnt/main-storage/datasets/enron-docs/doc/isda_multicurrency_municipal.doc</w:t>
    </w:r>
    <w:r>
      <w:rPr>
        <w:rStyle w:val="PageNumber"/>
        <w:sz w:val="16"/>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/mnt/main-storage/datasets/enron-docs/doc/isda_multicurrency_municipal.doc</w:t>
    </w:r>
    <w:r>
      <w:rPr>
        <w:rStyle w:val="PageNumber"/>
        <w:sz w:val="16"/>
        <w:szCs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/mnt/main-storage/datasets/enron-docs/doc/isda_multicurrency_municipal.doc</w:t>
    </w:r>
    <w:r>
      <w:rPr>
        <w:rStyle w:val="PageNumber"/>
        <w:sz w:val="16"/>
        <w:szCs w:val="16"/>
      </w:rPr>
      <w:fldChar w:fldCharType="end"/>
    </w:r>
  </w:p>
  <w:p>
    <w:pPr>
      <w:pStyle w:val="Footer"/>
      <w:jc w:val="center"/>
      <w:rPr/>
    </w:pPr>
    <w:r>
      <w:rPr>
        <w:rStyle w:val="PageNumber"/>
        <w:sz w:val="20"/>
        <w:szCs w:val="16"/>
      </w:rPr>
      <w:t>Attachment 1</w:t>
    </w:r>
  </w:p>
  <w:p>
    <w:pPr>
      <w:pStyle w:val="Footer"/>
      <w:jc w:val="center"/>
      <w:rPr/>
    </w:pPr>
    <w:r>
      <w:rPr>
        <w:rStyle w:val="PageNumbe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/mnt/main-storage/datasets/enron-docs/doc/isda_multicurrency_municipal.doc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/mnt/main-storage/datasets/enron-docs/doc/isda_multicurrency_municipal.doc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/mnt/main-storage/datasets/enron-docs/doc/isda_multicurrency_municipal.doc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center"/>
      <w:outlineLvl w:val="5"/>
    </w:pPr>
    <w:rPr>
      <w:b/>
      <w:bCs/>
      <w:color w:val="00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2000-09-05T13:14:00Z</dcterms:created>
  <dc:creator>mheard</dc:creator>
  <dc:description/>
  <dc:language>en-CA</dc:language>
  <cp:lastModifiedBy>sbaile2</cp:lastModifiedBy>
  <cp:lastPrinted>2000-09-05T13:38:00Z</cp:lastPrinted>
  <dcterms:modified xsi:type="dcterms:W3CDTF">2000-09-05T16:11:00Z</dcterms:modified>
  <cp:revision>10</cp:revision>
  <dc:subject/>
  <dc:title>ISDA Multicurrency Agreement</dc:title>
</cp:coreProperties>
</file>