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rPr>
      </w:pPr>
      <w:r>
        <w:rPr>
          <w:b/>
          <w:bCs/>
          <w:sz w:val="22"/>
        </w:rPr>
        <w:t>(Sample – Hedge Fund)</w:t>
      </w:r>
    </w:p>
    <w:p>
      <w:pPr>
        <w:pStyle w:val="Normal"/>
        <w:jc w:val="end"/>
        <w:rPr>
          <w:b/>
          <w:bCs/>
          <w:sz w:val="22"/>
        </w:rPr>
      </w:pPr>
      <w:r>
        <w:rPr>
          <w:b/>
          <w:bCs/>
          <w:sz w:val="22"/>
        </w:rPr>
        <w:t>CW&amp;T Comments</w:t>
      </w:r>
    </w:p>
    <w:p>
      <w:pPr>
        <w:pStyle w:val="Normal"/>
        <w:jc w:val="end"/>
        <w:rPr>
          <w:b/>
          <w:bCs/>
          <w:sz w:val="22"/>
        </w:rPr>
      </w:pPr>
      <w:r>
        <w:rPr>
          <w:b/>
          <w:bCs/>
          <w:sz w:val="22"/>
        </w:rPr>
        <w:t>06/06/01</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 2001</w:t>
      </w:r>
    </w:p>
    <w:p>
      <w:pPr>
        <w:pStyle w:val="Normal"/>
        <w:tabs>
          <w:tab w:val="clear" w:pos="720"/>
          <w:tab w:val="center" w:pos="5760" w:leader="none"/>
        </w:tabs>
        <w:spacing w:before="120" w:after="0"/>
        <w:jc w:val="center"/>
        <w:rPr>
          <w:b/>
          <w:bCs/>
          <w:sz w:val="22"/>
          <w:szCs w:val="22"/>
        </w:rPr>
      </w:pPr>
      <w:r>
        <w:rPr>
          <w:b/>
          <w:bCs/>
          <w:sz w:val="22"/>
          <w:szCs w:val="22"/>
        </w:rPr>
        <w:t>among</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p>
            <w:pPr>
              <w:pStyle w:val="Normal"/>
              <w:tabs>
                <w:tab w:val="clear" w:pos="720"/>
                <w:tab w:val="center" w:pos="5760" w:leader="none"/>
              </w:tabs>
              <w:spacing w:before="120" w:after="0"/>
              <w:jc w:val="center"/>
              <w:rPr>
                <w:b/>
                <w:bCs/>
                <w:sz w:val="22"/>
                <w:szCs w:val="22"/>
              </w:rPr>
            </w:pPr>
            <w:r>
              <w:rPr>
                <w:b/>
                <w:bCs/>
                <w:sz w:val="22"/>
                <w:szCs w:val="22"/>
              </w:rPr>
            </w:r>
          </w:p>
        </w:tc>
        <w:tc>
          <w:tcPr>
            <w:tcW w:w="4788" w:type="dxa"/>
            <w:tcBorders/>
          </w:tcPr>
          <w:p>
            <w:pPr>
              <w:pStyle w:val="Normal"/>
              <w:tabs>
                <w:tab w:val="clear" w:pos="720"/>
                <w:tab w:val="center" w:pos="5760" w:leader="none"/>
              </w:tabs>
              <w:spacing w:before="240" w:after="0"/>
              <w:jc w:val="center"/>
              <w:rPr/>
            </w:pPr>
            <w:r>
              <w:rPr>
                <w:b/>
                <w:bCs/>
                <w:caps/>
                <w:sz w:val="22"/>
                <w:szCs w:val="22"/>
              </w:rPr>
              <w:t>______________________</w:t>
            </w:r>
            <w:r>
              <w:rPr>
                <w:b/>
                <w:bCs/>
                <w:sz w:val="22"/>
                <w:szCs w:val="22"/>
              </w:rPr>
              <w:t>, a ___________ organized under the laws of _______________ (“Party B”), and</w:t>
            </w:r>
          </w:p>
        </w:tc>
      </w:tr>
      <w:tr>
        <w:trPr>
          <w:trHeight w:val="1215" w:hRule="atLeast"/>
        </w:trPr>
        <w:tc>
          <w:tcPr>
            <w:tcW w:w="4788" w:type="dxa"/>
            <w:tcBorders/>
          </w:tcPr>
          <w:p>
            <w:pPr>
              <w:pStyle w:val="Normal"/>
              <w:tabs>
                <w:tab w:val="clear" w:pos="720"/>
                <w:tab w:val="center" w:pos="5760" w:leader="none"/>
              </w:tabs>
              <w:spacing w:before="120" w:after="0"/>
              <w:jc w:val="center"/>
              <w:rPr>
                <w:b/>
                <w:bCs/>
                <w:sz w:val="22"/>
                <w:szCs w:val="22"/>
              </w:rPr>
            </w:pPr>
            <w:r>
              <w:rPr>
                <w:b/>
                <w:bCs/>
                <w:sz w:val="22"/>
                <w:szCs w:val="22"/>
              </w:rPr>
              <w:t xml:space="preserve">____________, as Investment Manager </w:t>
            </w:r>
          </w:p>
          <w:p>
            <w:pPr>
              <w:pStyle w:val="Normal"/>
              <w:tabs>
                <w:tab w:val="clear" w:pos="720"/>
                <w:tab w:val="center" w:pos="5760" w:leader="none"/>
              </w:tabs>
              <w:spacing w:before="240" w:after="0"/>
              <w:jc w:val="center"/>
              <w:rPr>
                <w:b/>
                <w:bCs/>
                <w:sz w:val="22"/>
                <w:szCs w:val="22"/>
              </w:rPr>
            </w:pPr>
            <w:r>
              <w:rPr>
                <w:b/>
                <w:bCs/>
                <w:sz w:val="22"/>
                <w:szCs w:val="22"/>
              </w:rPr>
              <w:t>(“Party C”)</w:t>
            </w:r>
          </w:p>
        </w:tc>
        <w:tc>
          <w:tcPr>
            <w:tcW w:w="4788" w:type="dxa"/>
            <w:tcBorders/>
          </w:tcPr>
          <w:p>
            <w:pPr>
              <w:pStyle w:val="Normal"/>
              <w:tabs>
                <w:tab w:val="clear" w:pos="720"/>
                <w:tab w:val="center" w:pos="5760" w:leader="none"/>
              </w:tabs>
              <w:snapToGrid w:val="false"/>
              <w:spacing w:before="240" w:after="0"/>
              <w:jc w:val="center"/>
              <w:rPr>
                <w:b/>
                <w:bCs/>
                <w:caps/>
                <w:sz w:val="22"/>
                <w:szCs w:val="22"/>
              </w:rPr>
            </w:pPr>
            <w:r>
              <w:rPr>
                <w:b/>
                <w:bCs/>
                <w:cap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numPr>
          <w:ilvl w:val="0"/>
          <w:numId w:val="7"/>
        </w:numPr>
        <w:tabs>
          <w:tab w:val="clear" w:pos="720"/>
          <w:tab w:val="left" w:pos="0" w:leader="none"/>
        </w:tabs>
        <w:spacing w:lineRule="exact" w:line="240" w:before="240" w:after="0"/>
        <w:ind w:firstLine="720" w:start="0" w:end="0"/>
        <w:jc w:val="both"/>
        <w:rPr>
          <w:sz w:val="22"/>
          <w:szCs w:val="22"/>
        </w:rPr>
      </w:pPr>
      <w:r>
        <w:rPr>
          <w:sz w:val="22"/>
          <w:szCs w:val="22"/>
        </w:rPr>
        <w:t>The definition of “Specified Transaction” in Section 14 of this Agreement is hereby amended by adding the text “forward contracts, precious metals transactions, letter of credit reimbursement obligations, commodity transaction, credit derivative transaction, repurchase or reverse repurchase transaction, securities lending transaction” after the words “foreign exchange transaction” in the sixth line thereof.</w:t>
      </w:r>
    </w:p>
    <w:p>
      <w:pPr>
        <w:pStyle w:val="Normal"/>
        <w:numPr>
          <w:ilvl w:val="0"/>
          <w:numId w:val="7"/>
        </w:numPr>
        <w:tabs>
          <w:tab w:val="clear" w:pos="720"/>
        </w:tabs>
        <w:spacing w:lineRule="exact" w:line="240" w:before="240" w:after="0"/>
        <w:ind w:firstLine="720" w:start="0" w:end="0"/>
        <w:jc w:val="both"/>
        <w:rPr>
          <w:sz w:val="22"/>
          <w:szCs w:val="22"/>
        </w:rPr>
      </w:pPr>
      <w:r>
        <w:rPr>
          <w:sz w:val="22"/>
          <w:szCs w:val="22"/>
        </w:rPr>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 xml:space="preserve">(d) </w:t>
        <w:tab/>
        <w:t>For Party A and Party B, “Specified Indebtedness” shall mean (i) all obligations of that person identified as Specified Indebtedness in Section 14, as well as all reimbursement obligations in respect of letters of credit or financial guaranty insurance issued for its account and (ii) all Derivatives Transactions (other than any Specified Transaction between Party A and Party B) of that party.</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For purposes of this Section, “Derivatives Transaction” shall mean in the case of any party: any transaction (including an agreement with respect thereto) now existing or hereafter entered into between such party (or any Credit Support Provider of such party or any applicable Specified Entity of such party) and any other person, including, without limitation, any rate swap transaction, basis swap, forward rate transaction, commodity swap, equity or equity index swap, equity or equity index option, bond option, interest rate option, repurchase or reverse repurchase transaction, foreign exchange transaction, commodity transaction, credit derivative transaction, securities lending transaction, cap, collar or floor transaction, currency swap transaction, cross-currency rate swap transaction, currency option, any transaction that is a “swap agreement”, “commodity contract” or “forward contract” under the U.S. Bankruptcy Code, as amended, or any other similar transaction (including any option with respect to any of these transactions).</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(g)</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(h)</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(i)</w:t>
        <w:tab/>
      </w:r>
      <w:r>
        <w:rPr>
          <w:b/>
          <w:bCs/>
          <w:sz w:val="22"/>
          <w:szCs w:val="22"/>
        </w:rPr>
        <w:t>“Termination Currency”</w:t>
      </w:r>
      <w:r>
        <w:rPr>
          <w:sz w:val="22"/>
          <w:szCs w:val="22"/>
        </w:rPr>
        <w:t xml:space="preserve"> means United States Dollars.</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(j)</w:t>
        <w:tab/>
      </w:r>
      <w:r>
        <w:rPr>
          <w:b/>
          <w:bCs/>
          <w:sz w:val="22"/>
          <w:szCs w:val="22"/>
        </w:rPr>
        <w:t>Additional Termination Event</w:t>
      </w:r>
      <w:r>
        <w:rPr>
          <w:sz w:val="22"/>
          <w:szCs w:val="22"/>
        </w:rPr>
        <w:t xml:space="preserve"> will apply.  (i) The following will each constitute an Additional Termination Event with respect to Party B (in which Party B shall be the Affected Party):</w:t>
      </w:r>
    </w:p>
    <w:p>
      <w:pPr>
        <w:pStyle w:val="Normal"/>
        <w:spacing w:lineRule="atLeast" w:line="240"/>
        <w:ind w:firstLine="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Party B’s Net Asset Value declines by (x) [twenty percent (20%)] or more during any one-month period, (y) [thirty percent (30%)] or more during any three month period or (z) [thirty-five percent (35%)] or more within any twelve-month period, in each case calculated on a rolling basis with respect to the immediately preceding one-month, three-month, or twelve-month period.</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ratio of its Liabilities to Net Asset Value is more than __ to __.</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its Net Asset Value falls below U.S. $__________.</w:t>
      </w:r>
    </w:p>
    <w:p>
      <w:pPr>
        <w:pStyle w:val="Normal"/>
        <w:ind w:hanging="540" w:start="144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for any reason Party C or Party B is unacceptable to Party A.</w:t>
      </w:r>
    </w:p>
    <w:p>
      <w:pPr>
        <w:pStyle w:val="Normal"/>
        <w:ind w:hanging="540" w:start="720" w:end="0"/>
        <w:jc w:val="both"/>
        <w:rPr>
          <w:sz w:val="22"/>
          <w:szCs w:val="22"/>
        </w:rPr>
      </w:pPr>
      <w:r>
        <w:rPr>
          <w:sz w:val="22"/>
          <w:szCs w:val="22"/>
        </w:rPr>
      </w:r>
    </w:p>
    <w:p>
      <w:pPr>
        <w:pStyle w:val="Normal"/>
        <w:numPr>
          <w:ilvl w:val="0"/>
          <w:numId w:val="3"/>
        </w:numPr>
        <w:ind w:hanging="540" w:start="1440" w:end="0"/>
        <w:jc w:val="both"/>
        <w:rPr>
          <w:sz w:val="22"/>
          <w:szCs w:val="22"/>
        </w:rPr>
      </w:pPr>
      <w:r>
        <w:rPr>
          <w:sz w:val="22"/>
          <w:szCs w:val="22"/>
        </w:rPr>
        <w:t>If the Investment Management Agreement is terminated by either Party C or Party B.</w:t>
      </w:r>
    </w:p>
    <w:p>
      <w:pPr>
        <w:pStyle w:val="Normal"/>
        <w:jc w:val="both"/>
        <w:rPr>
          <w:sz w:val="22"/>
          <w:szCs w:val="22"/>
        </w:rPr>
      </w:pPr>
      <w:r>
        <w:rPr>
          <w:sz w:val="22"/>
          <w:szCs w:val="22"/>
        </w:rPr>
      </w:r>
    </w:p>
    <w:p>
      <w:pPr>
        <w:pStyle w:val="Normal"/>
        <w:ind w:hanging="720" w:start="1440" w:end="0"/>
        <w:rPr>
          <w:sz w:val="22"/>
          <w:szCs w:val="22"/>
        </w:rPr>
      </w:pPr>
      <w:r>
        <w:rPr>
          <w:sz w:val="22"/>
          <w:szCs w:val="22"/>
        </w:rPr>
        <w:t xml:space="preserve">   </w:t>
      </w:r>
      <w:r>
        <w:rPr>
          <w:sz w:val="22"/>
          <w:szCs w:val="22"/>
        </w:rPr>
        <w:t>(f)</w:t>
        <w:tab/>
        <w:t xml:space="preserve">If either the Investment Management Agreement or the Investment Policy of Party B are breached by Party C or Party B. </w:t>
        <w:br/>
      </w:r>
    </w:p>
    <w:p>
      <w:pPr>
        <w:pStyle w:val="Normal"/>
        <w:ind w:hanging="540" w:start="1440" w:end="0"/>
        <w:jc w:val="both"/>
        <w:rPr>
          <w:sz w:val="22"/>
          <w:szCs w:val="22"/>
        </w:rPr>
      </w:pPr>
      <w:r>
        <w:rPr>
          <w:sz w:val="22"/>
          <w:szCs w:val="22"/>
        </w:rPr>
        <w:t>(g)</w:t>
        <w:tab/>
        <w:t xml:space="preserve">If at any time [NAME OF KEY PERSON] dies, suffers an Incompetency Event or otherwise ceases to act on behalf of Party C and Party B in principally the same or similar capacity as that held as of the date of this Agreement.  </w:t>
      </w:r>
    </w:p>
    <w:p>
      <w:pPr>
        <w:pStyle w:val="Normal"/>
        <w:ind w:hanging="540" w:start="144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If any of the constituent documents of Party B (including, without limitation, the Investment Policy or other investment guidelines of Party B and the Investment Management Agreement (defined below), the then current disclosure document of Party B, if any, and the power of attorney or trading authorization by Party B issued in favor of Party C (each, an “Operative Document”) is amended or modified in a manner which, in the commercially reasonable judgment of Party A, would or may have a material and adverse effect on Party A under this Agreement or any Transaction hereunder.</w:t>
      </w:r>
    </w:p>
    <w:p>
      <w:pPr>
        <w:pStyle w:val="Normal"/>
        <w:ind w:start="960" w:end="0"/>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Any representation or warranty made or deemed made by Party C hereunder proves false or misleading when made or deemed made, of if Party C defaults in the fulfillment of any obligation binding upon it hereunder or thereunder whether in its individual capacity or as Investment Manager of Party B.</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Party B fails to notify Party A in writing of Party B’s Net Asset Value, such Net Asset Value to be calculated as of [the last New York Business Day of each month] or upon the request of Party A; such notice may be given by facsimile transmission and such notice must be received by Party A within two (2) New York Business Days following the last New York Business Day of each such month or within two (2) New York Business Days following such request.</w:t>
      </w:r>
    </w:p>
    <w:p>
      <w:pPr>
        <w:pStyle w:val="Normal"/>
        <w:jc w:val="both"/>
        <w:rPr>
          <w:sz w:val="22"/>
          <w:szCs w:val="22"/>
        </w:rPr>
      </w:pPr>
      <w:r>
        <w:rPr>
          <w:sz w:val="22"/>
          <w:szCs w:val="22"/>
        </w:rPr>
      </w:r>
    </w:p>
    <w:p>
      <w:pPr>
        <w:pStyle w:val="Normal"/>
        <w:numPr>
          <w:ilvl w:val="0"/>
          <w:numId w:val="2"/>
        </w:numPr>
        <w:tabs>
          <w:tab w:val="clear" w:pos="720"/>
          <w:tab w:val="left" w:pos="1440" w:leader="none"/>
        </w:tabs>
        <w:ind w:hanging="480" w:start="1440" w:end="0"/>
        <w:jc w:val="both"/>
        <w:rPr>
          <w:sz w:val="22"/>
          <w:szCs w:val="22"/>
        </w:rPr>
      </w:pPr>
      <w:r>
        <w:rPr>
          <w:sz w:val="22"/>
          <w:szCs w:val="22"/>
        </w:rPr>
        <w:t>The method of calculating the Net Asset Value of Party B, as such method is described in the Statement of Accounting Principles (defined below) in respect of Party B delivered to Party A upon execution of this Agreement in accordance with Part 3 of this Schedule, is amended or altered without the prior written consent of Party A, which consent may be given in the sole discretion of Party A in a manner which, in the commercially reasonable judgment of Party A, would or may have a material and adverse effect on Party A under this Agreement or any Transaction hereunder.</w:t>
      </w:r>
    </w:p>
    <w:p>
      <w:pPr>
        <w:pStyle w:val="Normal"/>
        <w:jc w:val="both"/>
        <w:rPr>
          <w:sz w:val="22"/>
          <w:szCs w:val="22"/>
        </w:rPr>
      </w:pPr>
      <w:r>
        <w:rPr>
          <w:sz w:val="22"/>
          <w:szCs w:val="22"/>
        </w:rPr>
      </w:r>
    </w:p>
    <w:p>
      <w:pPr>
        <w:pStyle w:val="Normal"/>
        <w:ind w:hanging="450" w:start="1440" w:end="0"/>
        <w:jc w:val="both"/>
        <w:rPr>
          <w:sz w:val="22"/>
          <w:szCs w:val="22"/>
        </w:rPr>
      </w:pPr>
      <w:r>
        <w:rPr>
          <w:sz w:val="22"/>
          <w:szCs w:val="22"/>
        </w:rPr>
        <w:t>(l)</w:t>
        <w:tab/>
        <w:t>The failure of Party B to notify Party A of the occurrence of any Additional Termination Event within fifteen (15) days of the occurrence of said Additional Termination Event.</w:t>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 (in which Party A shall be the Affected Party):</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numPr>
          <w:ilvl w:val="0"/>
          <w:numId w:val="8"/>
        </w:numPr>
        <w:spacing w:lineRule="exact" w:line="240" w:before="240" w:after="0"/>
        <w:jc w:val="both"/>
        <w:rPr>
          <w:sz w:val="22"/>
          <w:szCs w:val="22"/>
        </w:rPr>
      </w:pPr>
      <w:r>
        <w:rPr>
          <w:sz w:val="22"/>
          <w:szCs w:val="22"/>
        </w:rPr>
        <w:t>The following representations apply to Party B:</w:t>
      </w:r>
    </w:p>
    <w:p>
      <w:pPr>
        <w:pStyle w:val="Normal"/>
        <w:keepNext w:val="true"/>
        <w:spacing w:lineRule="exact" w:line="240" w:before="240" w:after="0"/>
        <w:ind w:firstLine="720" w:end="0"/>
        <w:jc w:val="both"/>
        <w:rPr>
          <w:sz w:val="22"/>
          <w:szCs w:val="22"/>
        </w:rPr>
      </w:pPr>
      <w:r>
        <w:rPr>
          <w:sz w:val="22"/>
          <w:szCs w:val="22"/>
        </w:rPr>
        <w:t>[Insert appropriate Representation Module]</w:t>
      </w:r>
    </w:p>
    <w:p>
      <w:pPr>
        <w:pStyle w:val="Normal"/>
        <w:keepNext w:val="true"/>
        <w:spacing w:lineRule="exact" w:line="240" w:before="240" w:after="0"/>
        <w:ind w:firstLine="720" w:end="0"/>
        <w:jc w:val="both"/>
        <w:rPr>
          <w:sz w:val="22"/>
          <w:szCs w:val="22"/>
        </w:rPr>
      </w:pPr>
      <w:r>
        <w:rPr>
          <w:sz w:val="22"/>
          <w:szCs w:val="22"/>
        </w:rPr>
      </w:r>
    </w:p>
    <w:p>
      <w:pPr>
        <w:pStyle w:val="Heading4"/>
        <w:keepNext w:val="false"/>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rPr>
                <w:sz w:val="22"/>
                <w:szCs w:val="22"/>
              </w:rPr>
            </w:pPr>
            <w:r>
              <w:rPr>
                <w:sz w:val="22"/>
                <w:szCs w:val="22"/>
              </w:rPr>
              <w:t>(i) At execution of this Master Agreement, (ii) promptly upon reasonable demand by the other party (or any Specified Entity) and (iii) promptly upon learning that any such form or document is required or that any such form or document previously provided has become obsolete or incorrect.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Header"/>
              <w:widowControl/>
              <w:tabs>
                <w:tab w:val="clear" w:pos="4320"/>
                <w:tab w:val="clear" w:pos="8640"/>
              </w:tabs>
              <w:spacing w:lineRule="atLeast" w:line="240" w:before="240" w:after="0"/>
              <w:rPr>
                <w:b/>
                <w:bCs/>
              </w:rPr>
            </w:pPr>
            <w:r>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Header"/>
              <w:widowControl/>
              <w:tabs>
                <w:tab w:val="clear" w:pos="4320"/>
                <w:tab w:val="clear" w:pos="8640"/>
              </w:tabs>
              <w:spacing w:lineRule="atLeast" w:line="240" w:before="240" w:after="0"/>
              <w:rPr/>
            </w:pPr>
            <w:r>
              <w:rPr/>
              <w:t>Party A and Party B</w:t>
            </w:r>
          </w:p>
        </w:tc>
        <w:tc>
          <w:tcPr>
            <w:tcW w:w="3886" w:type="dxa"/>
            <w:gridSpan w:val="2"/>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or other constituent documents as well as its prospectus or offering memorandum, the Investment Management Agreement and Power of Attorney or trading authorization by Party B issued in favor of Party C</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napToGrid w:val="false"/>
              <w:spacing w:lineRule="atLeast" w:line="240" w:before="120" w:after="0"/>
              <w:rPr>
                <w:rFonts w:ascii="Times New Roman" w:hAnsi="Times New Roman" w:cs="Times New Roman"/>
                <w:b/>
                <w:bCs/>
                <w:sz w:val="22"/>
                <w:szCs w:val="22"/>
              </w:rPr>
            </w:pPr>
            <w:r>
              <w:rPr>
                <w:rFonts w:cs="Times New Roman" w:ascii="Times New Roman" w:hAnsi="Times New Roman"/>
                <w:b/>
                <w:bCs/>
                <w:sz w:val="22"/>
                <w:szCs w:val="22"/>
              </w:rPr>
            </w:r>
          </w:p>
        </w:tc>
        <w:tc>
          <w:tcPr>
            <w:tcW w:w="3886" w:type="dxa"/>
            <w:gridSpan w:val="2"/>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2228" w:type="dxa"/>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1985" w:type="dxa"/>
            <w:gridSpan w:val="2"/>
            <w:tcBorders/>
          </w:tcPr>
          <w:p>
            <w:pPr>
              <w:pStyle w:val="Normal"/>
              <w:snapToGrid w:val="false"/>
              <w:spacing w:lineRule="atLeast" w:line="240" w:before="240" w:after="0"/>
              <w:jc w:val="center"/>
              <w:rPr>
                <w:rFonts w:ascii="Times New Roman" w:hAnsi="Times New Roman" w:cs="Times New Roman"/>
                <w:sz w:val="22"/>
                <w:szCs w:val="22"/>
              </w:rPr>
            </w:pPr>
            <w:r>
              <w:rPr>
                <w:rFonts w:cs="Times New Roman"/>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 [</w:t>
            </w:r>
            <w:r>
              <w:rPr/>
              <w:t>Party C]</w:t>
            </w:r>
          </w:p>
        </w:tc>
        <w:tc>
          <w:tcPr>
            <w:tcW w:w="3886" w:type="dxa"/>
            <w:gridSpan w:val="2"/>
            <w:tcBorders/>
          </w:tcPr>
          <w:p>
            <w:pPr>
              <w:pStyle w:val="Header"/>
              <w:widowControl/>
              <w:tabs>
                <w:tab w:val="clear" w:pos="4320"/>
                <w:tab w:val="clear" w:pos="8640"/>
              </w:tabs>
              <w:spacing w:lineRule="atLeast" w:line="240" w:before="240" w:after="0"/>
              <w:rPr>
                <w:szCs w:val="20"/>
              </w:rPr>
            </w:pPr>
            <w:r>
              <w:rPr>
                <w:szCs w:val="20"/>
              </w:rPr>
              <w:t>A Statement of Accounting Principles in respect of Party B, which statement shall describe the method of calculation of the Net Asset Value of Party B as such method is in existence and in use by Party C and/or Party B as of the date of such statement</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 and as the effective date of each change, amendment or alteration with respect to such method.</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Header"/>
              <w:widowControl/>
              <w:tabs>
                <w:tab w:val="clear" w:pos="4320"/>
                <w:tab w:val="clear" w:pos="8640"/>
              </w:tabs>
              <w:spacing w:lineRule="atLeast" w:line="240" w:before="240" w:after="0"/>
              <w:rPr>
                <w:b/>
                <w:bCs/>
              </w:rPr>
            </w:pPr>
            <w:r>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Header"/>
              <w:widowControl/>
              <w:tabs>
                <w:tab w:val="clear" w:pos="4320"/>
                <w:tab w:val="clear" w:pos="8640"/>
              </w:tabs>
              <w:spacing w:lineRule="atLeast" w:line="240" w:before="240" w:after="0"/>
              <w:rPr/>
            </w:pPr>
            <w:r>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Header"/>
              <w:widowControl/>
              <w:tabs>
                <w:tab w:val="clear" w:pos="4320"/>
                <w:tab w:val="clear" w:pos="8640"/>
              </w:tabs>
              <w:spacing w:lineRule="atLeast" w:line="240" w:before="240" w:after="0"/>
              <w:rPr/>
            </w:pPr>
            <w:r>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and the Net Asset Value at the end of each month.</w:t>
            </w:r>
          </w:p>
        </w:tc>
        <w:tc>
          <w:tcPr>
            <w:tcW w:w="2250" w:type="dxa"/>
            <w:gridSpan w:val="3"/>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____________</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____________</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6"/>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jc w:val="both"/>
        <w:rPr>
          <w:sz w:val="22"/>
          <w:szCs w:val="22"/>
        </w:rPr>
      </w:pPr>
      <w:r>
        <w:rPr>
          <w:sz w:val="22"/>
          <w:szCs w:val="22"/>
        </w:rPr>
        <w:tab/>
        <w:t>[(i)</w:t>
        <w:tab/>
      </w:r>
      <w:r>
        <w:rPr>
          <w:b/>
          <w:bCs/>
          <w:sz w:val="22"/>
          <w:szCs w:val="22"/>
        </w:rPr>
        <w:t xml:space="preserve">Process Agent.  </w:t>
      </w:r>
      <w:r>
        <w:rPr>
          <w:sz w:val="22"/>
          <w:szCs w:val="22"/>
        </w:rPr>
        <w:t>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 having an office in _______________ on the date of this Agreement at _______________________________________________________.]</w:t>
      </w:r>
      <w:r>
        <w:rPr>
          <w:rStyle w:val="FootnoteCharacters"/>
          <w:rStyle w:val="FootnoteReference"/>
        </w:rPr>
        <w:footnoteReference w:id="2"/>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(ii) the terms of this Agreement and any Transactions have been subject to individual negotiation; and (iii) no Transaction has been entered into on a trading facility.</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and Acknowledgements of Party B and Party C.</w:t>
      </w:r>
      <w:r>
        <w:rPr>
          <w:sz w:val="22"/>
          <w:szCs w:val="22"/>
        </w:rPr>
        <w:t xml:space="preserve">  For the purpose of Section 3 of the Agreement, each of Party B and Party C further represents, warrants, and acknowledges to Party A (which representations and acknowledgements will be deemed repeated by Party B and Party C at all times until the termination of this Agreement and any Transactions) that:</w:t>
      </w:r>
    </w:p>
    <w:p>
      <w:pPr>
        <w:pStyle w:val="Normal"/>
        <w:jc w:val="both"/>
        <w:rPr>
          <w:sz w:val="22"/>
          <w:szCs w:val="22"/>
        </w:rPr>
      </w:pPr>
      <w:r>
        <w:rPr>
          <w:sz w:val="22"/>
          <w:szCs w:val="22"/>
        </w:rPr>
      </w:r>
    </w:p>
    <w:p>
      <w:pPr>
        <w:pStyle w:val="Normal"/>
        <w:numPr>
          <w:ilvl w:val="0"/>
          <w:numId w:val="5"/>
        </w:numPr>
        <w:jc w:val="both"/>
        <w:rPr>
          <w:sz w:val="22"/>
          <w:szCs w:val="22"/>
        </w:rPr>
      </w:pPr>
      <w:r>
        <w:rPr>
          <w:sz w:val="22"/>
          <w:szCs w:val="22"/>
        </w:rPr>
        <w:t xml:space="preserve">this Agreement and any Transaction hereunder do not constitute any kind of investment by Party B that is proscribed by any Investment Policy, limitation or restriction to which Party B is subject; </w:t>
      </w:r>
    </w:p>
    <w:p>
      <w:pPr>
        <w:pStyle w:val="Normal"/>
        <w:keepNext w:val="true"/>
        <w:ind w:start="720" w:end="0"/>
        <w:jc w:val="both"/>
        <w:rPr>
          <w:sz w:val="22"/>
          <w:szCs w:val="22"/>
        </w:rPr>
      </w:pPr>
      <w:r>
        <w:rPr>
          <w:sz w:val="22"/>
          <w:szCs w:val="22"/>
        </w:rPr>
      </w:r>
    </w:p>
    <w:p>
      <w:pPr>
        <w:pStyle w:val="Normal"/>
        <w:keepNext w:val="true"/>
        <w:numPr>
          <w:ilvl w:val="0"/>
          <w:numId w:val="5"/>
        </w:numPr>
        <w:jc w:val="both"/>
        <w:rPr>
          <w:sz w:val="22"/>
          <w:szCs w:val="22"/>
        </w:rPr>
      </w:pPr>
      <w:r>
        <w:rPr>
          <w:sz w:val="22"/>
          <w:szCs w:val="22"/>
        </w:rPr>
        <w:t>it is not any employee benefit plan subject to the Employee Retirement Income Security Act of 1974 (“ERISA”), is not acting on behalf of an employee benefit plan subject to ERISA, and is not using assets which are or which are deemed under ERISA to be assets of an employee benefit plan; and</w:t>
      </w:r>
    </w:p>
    <w:p>
      <w:pPr>
        <w:pStyle w:val="Normal"/>
        <w:keepNext w:val="true"/>
        <w:jc w:val="both"/>
        <w:rPr>
          <w:sz w:val="22"/>
          <w:szCs w:val="22"/>
        </w:rPr>
      </w:pPr>
      <w:r>
        <w:rPr>
          <w:sz w:val="22"/>
          <w:szCs w:val="22"/>
        </w:rPr>
      </w:r>
    </w:p>
    <w:p>
      <w:pPr>
        <w:pStyle w:val="Normal"/>
        <w:keepNext w:val="true"/>
        <w:numPr>
          <w:ilvl w:val="0"/>
          <w:numId w:val="5"/>
        </w:numPr>
        <w:jc w:val="both"/>
        <w:rPr>
          <w:sz w:val="22"/>
          <w:szCs w:val="22"/>
        </w:rPr>
      </w:pPr>
      <w:r>
        <w:rPr>
          <w:sz w:val="22"/>
          <w:szCs w:val="22"/>
        </w:rPr>
        <w:t>each Transaction will comply with all respects with all applicable laws, rules, regulations, interpretations, guidelines, procedures, and policies of applicable governmental and regulatory authorities affecting Party B, this Agreement, the Transactions or the performance of Party B’s obligations hereunder</w:t>
      </w:r>
    </w:p>
    <w:p>
      <w:pPr>
        <w:pStyle w:val="Normal"/>
        <w:keepNext w:val="true"/>
        <w:ind w:start="720" w:end="0"/>
        <w:jc w:val="both"/>
        <w:rPr>
          <w:sz w:val="22"/>
          <w:szCs w:val="22"/>
        </w:rPr>
      </w:pPr>
      <w:r>
        <w:rPr>
          <w:sz w:val="22"/>
          <w:szCs w:val="22"/>
        </w:rPr>
      </w:r>
    </w:p>
    <w:p>
      <w:pPr>
        <w:pStyle w:val="Normal"/>
        <w:keepNext w:val="true"/>
        <w:numPr>
          <w:ilvl w:val="0"/>
          <w:numId w:val="6"/>
        </w:numPr>
        <w:jc w:val="both"/>
        <w:rPr>
          <w:sz w:val="22"/>
          <w:szCs w:val="22"/>
        </w:rPr>
      </w:pPr>
      <w:r>
        <w:rPr>
          <w:sz w:val="22"/>
          <w:szCs w:val="22"/>
        </w:rPr>
        <w:t>Party B and Party C, in its individual capacity, each represents and warrants to Party A that:</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Party C is duly authorized and empowered by Party B to enter into and perform on behalf of Party B all the obligations of Party B under the Agreement and all Transactions thereunder; and unless it has received written notice of termination of such authority, Party A shall be entitled to rely upon any and all instructions or notices received from Party C with respect to this Agreement or any Transaction, and Party A shall be under no duty to determine whether the giving of any notice or instruction, or the entry into any Transaction (including, without limitation, its nature and amount), on behalf of Party B is within the authority of Party C;</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each Transaction is and will be entered into by Party C on behalf of Party B and not for Party C’s own account and constitutes and will constitute legal, valid and binding obligations of Party B enforceable in accordance with its terms; and</w:t>
      </w:r>
    </w:p>
    <w:p>
      <w:pPr>
        <w:pStyle w:val="Normal"/>
        <w:keepNext w:val="true"/>
        <w:ind w:start="1440" w:end="0"/>
        <w:jc w:val="both"/>
        <w:rPr>
          <w:sz w:val="22"/>
          <w:szCs w:val="22"/>
        </w:rPr>
      </w:pPr>
      <w:r>
        <w:rPr>
          <w:sz w:val="22"/>
          <w:szCs w:val="22"/>
        </w:rPr>
      </w:r>
    </w:p>
    <w:p>
      <w:pPr>
        <w:pStyle w:val="Normal"/>
        <w:keepNext w:val="true"/>
        <w:numPr>
          <w:ilvl w:val="1"/>
          <w:numId w:val="6"/>
        </w:numPr>
        <w:jc w:val="both"/>
        <w:rPr>
          <w:sz w:val="22"/>
          <w:szCs w:val="22"/>
        </w:rPr>
      </w:pPr>
      <w:r>
        <w:rPr>
          <w:sz w:val="22"/>
          <w:szCs w:val="22"/>
        </w:rPr>
        <w:t>in respect of this Agreement, Party B has full legal capacity and power to enter into this Agreement and all Transactions thereunder and to do so through Party C’s agency (and all actions required to be taken by Party B and/or each of its agents to authorize the same and all other acts, conditions, and things required to be done, fulfilled or performed by it or them in relation thereto, have been done, fulfilled or performed).</w:t>
      </w:r>
    </w:p>
    <w:p>
      <w:pPr>
        <w:pStyle w:val="BodyTextIndent"/>
        <w:keepNext w:val="true"/>
        <w:spacing w:lineRule="auto" w:line="240" w:before="0" w:after="0"/>
        <w:rPr/>
      </w:pPr>
      <w:r>
        <w:rPr/>
        <w:br/>
        <w:t>(e)</w:t>
        <w:tab/>
        <w:t>Additional Agreements of Party B.</w:t>
      </w:r>
    </w:p>
    <w:p>
      <w:pPr>
        <w:pStyle w:val="Normal"/>
        <w:keepNext w:val="true"/>
        <w:ind w:start="1440" w:end="0"/>
        <w:jc w:val="both"/>
        <w:rPr/>
      </w:pPr>
      <w:r>
        <w:rPr>
          <w:sz w:val="22"/>
          <w:szCs w:val="22"/>
        </w:rPr>
        <w:br/>
      </w:r>
      <w:r>
        <w:rPr>
          <w:sz w:val="22"/>
          <w:szCs w:val="22"/>
          <w:u w:val="single"/>
        </w:rPr>
        <w:t>Notice of Certain Events</w:t>
      </w:r>
      <w:r>
        <w:rPr>
          <w:sz w:val="22"/>
          <w:szCs w:val="22"/>
        </w:rPr>
        <w:t>.  Party B will provide Party A, promptly upon becoming aware of the same, with written notice of (A) any proposed action, material change, or modification to any Operative Document, the Investment Management Agreement or any investment guidelines, policies, procedures or restrictions to which Party C is subject, or any action that causes a Termination Event or Event of Default, or any event or circumstance that would reasonably be expected to lead to a Termination Event or Event of Default, (B) any Potential Event of Default, Event of Default or Termination Event, or event or condition that, with the giving of notice or the passage of time or both, could constitute a Termination Event with respect to Party B, and (C) any material pending or threatened litigation, action, claim, proceeding, or investigation which will adversely affect the ability of Party B or Party C to perform its obligations under this Agreement, any Credit Support Document or any Transaction, or of any other facts or developments which will adversely affect the status of Party B with respect to this Agreement, any Credit Support Document or any Transaction including, without limitation, any material change in the amount of the assets of Party B which are under Party C’s management.</w:t>
      </w:r>
    </w:p>
    <w:p>
      <w:pPr>
        <w:pStyle w:val="Normal"/>
        <w:keepNext w:val="true"/>
        <w:ind w:start="1440" w:end="0"/>
        <w:jc w:val="both"/>
        <w:rPr>
          <w:sz w:val="22"/>
          <w:szCs w:val="22"/>
        </w:rPr>
      </w:pPr>
      <w:r>
        <w:rPr>
          <w:sz w:val="22"/>
          <w:szCs w:val="22"/>
        </w:rPr>
      </w:r>
    </w:p>
    <w:p>
      <w:pPr>
        <w:pStyle w:val="BodyTextIndent"/>
        <w:keepNext w:val="true"/>
        <w:spacing w:lineRule="auto" w:line="240" w:before="0" w:after="0"/>
        <w:ind w:firstLine="720" w:start="0" w:end="0"/>
        <w:rPr/>
      </w:pPr>
      <w:r>
        <w:rPr/>
        <w:t>(f)</w:t>
        <w:tab/>
        <w:t>Additional Representations of Party C.  Party C represents, warrants and covenants with Party A (which representations, warranties and covenants are deemed to be repeated by Party C at all times until the termination of this Agreement and any Transactions) that:</w:t>
      </w:r>
    </w:p>
    <w:p>
      <w:pPr>
        <w:pStyle w:val="Normal"/>
        <w:keepNext w:val="true"/>
        <w:ind w:start="720" w:end="0"/>
        <w:jc w:val="both"/>
        <w:rPr>
          <w:sz w:val="22"/>
          <w:szCs w:val="22"/>
        </w:rPr>
      </w:pPr>
      <w:r>
        <w:rPr>
          <w:sz w:val="22"/>
          <w:szCs w:val="22"/>
        </w:rPr>
      </w:r>
    </w:p>
    <w:p>
      <w:pPr>
        <w:pStyle w:val="Normal"/>
        <w:keepNext w:val="true"/>
        <w:numPr>
          <w:ilvl w:val="0"/>
          <w:numId w:val="4"/>
        </w:numPr>
        <w:tabs>
          <w:tab w:val="clear" w:pos="720"/>
          <w:tab w:val="left" w:pos="-2250" w:leader="none"/>
          <w:tab w:val="left" w:pos="1440" w:leader="none"/>
        </w:tabs>
        <w:ind w:hanging="0" w:start="1440" w:end="0"/>
        <w:jc w:val="both"/>
        <w:rPr>
          <w:sz w:val="22"/>
          <w:szCs w:val="22"/>
        </w:rPr>
      </w:pPr>
      <w:r>
        <w:rPr>
          <w:sz w:val="22"/>
          <w:szCs w:val="22"/>
        </w:rPr>
        <w:t>it is duly organized, validly existing and in good standing under the laws of its state of organization;</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w:t>
        <w:tab/>
        <w:t>it is an investment adviser duly registered under the Investment Advisers Act of 1940, as amended, and all similar state laws under which it is required to be registered, and it maintains the records required by, and complies in all material respects with, all such laws; and</w:t>
      </w:r>
    </w:p>
    <w:p>
      <w:pPr>
        <w:pStyle w:val="Normal"/>
        <w:keepNext w:val="true"/>
        <w:ind w:start="1440" w:end="0"/>
        <w:jc w:val="both"/>
        <w:rPr>
          <w:sz w:val="22"/>
          <w:szCs w:val="22"/>
        </w:rPr>
      </w:pPr>
      <w:r>
        <w:rPr>
          <w:sz w:val="22"/>
          <w:szCs w:val="22"/>
        </w:rPr>
      </w:r>
    </w:p>
    <w:p>
      <w:pPr>
        <w:pStyle w:val="Normal"/>
        <w:keepNext w:val="true"/>
        <w:ind w:start="1440" w:end="0"/>
        <w:jc w:val="both"/>
        <w:rPr>
          <w:sz w:val="22"/>
          <w:szCs w:val="22"/>
        </w:rPr>
      </w:pPr>
      <w:r>
        <w:rPr>
          <w:sz w:val="22"/>
          <w:szCs w:val="22"/>
        </w:rPr>
        <w:t>(iii)</w:t>
        <w:tab/>
        <w:t>it will enter into a Transaction only when the Assets in the accounts of Party B under its control are sufficient to meet the obligations resulting from such transactions.</w:t>
      </w:r>
    </w:p>
    <w:p>
      <w:pPr>
        <w:pStyle w:val="Normal"/>
        <w:spacing w:lineRule="exact" w:line="240" w:before="240" w:after="0"/>
        <w:ind w:firstLine="720" w:end="0"/>
        <w:jc w:val="both"/>
        <w:rPr/>
      </w:pPr>
      <w:r>
        <w:rPr>
          <w:sz w:val="22"/>
          <w:szCs w:val="22"/>
        </w:rPr>
        <w:t>(g)</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spacing w:lineRule="exact" w:line="240" w:before="240" w:after="0"/>
        <w:ind w:firstLine="720" w:end="0"/>
        <w:jc w:val="both"/>
        <w:rPr/>
      </w:pPr>
      <w:r>
        <w:rPr>
          <w:sz w:val="22"/>
          <w:szCs w:val="22"/>
        </w:rPr>
        <w:t>(h)</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(i)</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(2)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(j)</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(k)</w:t>
        <w:tab/>
      </w:r>
      <w:r>
        <w:rPr>
          <w:b/>
          <w:bCs/>
          <w:sz w:val="22"/>
          <w:szCs w:val="22"/>
        </w:rPr>
        <w:t>Setoff.</w:t>
      </w:r>
      <w:r>
        <w:rPr>
          <w:sz w:val="22"/>
          <w:szCs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w:t>
      </w:r>
      <w:r>
        <w:rPr>
          <w:rStyle w:val="FootnoteCharacters"/>
          <w:rStyle w:val="FootnoteReference"/>
        </w:rPr>
        <w:footnoteReference w:id="3"/>
      </w:r>
      <w:r>
        <w:rPr>
          <w:sz w:val="22"/>
          <w:szCs w:val="22"/>
        </w:rPr>
        <w:t xml:space="preserv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br/>
        <w:br/>
        <w:tab/>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sz w:val="22"/>
          <w:szCs w:val="22"/>
        </w:rPr>
        <w:t>(l)</w:t>
      </w:r>
      <w:r>
        <w:rPr>
          <w:b/>
          <w:bCs/>
          <w:sz w:val="22"/>
          <w:szCs w:val="22"/>
        </w:rPr>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(m)</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(n)</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(o)</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(p)</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5,r 6 [or 13]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(q)</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(r)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(s)</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“Assets”</w:t>
      </w:r>
      <w:r>
        <w:rPr>
          <w:sz w:val="22"/>
          <w:szCs w:val="22"/>
        </w:rPr>
        <w:t xml:space="preserve"> mean all assets of Party B.</w:t>
      </w:r>
    </w:p>
    <w:p>
      <w:pPr>
        <w:pStyle w:val="Normal"/>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ind w:start="720" w:end="0"/>
        <w:jc w:val="both"/>
        <w:rPr/>
      </w:pPr>
      <w:r>
        <w:rPr>
          <w:sz w:val="22"/>
          <w:szCs w:val="22"/>
        </w:rPr>
        <w:t>(c)</w:t>
        <w:tab/>
        <w:t>“</w:t>
      </w:r>
      <w:r>
        <w:rPr>
          <w:b/>
          <w:bCs/>
          <w:sz w:val="22"/>
          <w:szCs w:val="22"/>
        </w:rPr>
        <w:t xml:space="preserve">Incompetency Event” </w:t>
      </w:r>
      <w:r>
        <w:rPr>
          <w:sz w:val="22"/>
          <w:szCs w:val="22"/>
        </w:rPr>
        <w:t>means the declaration by a court of competent jurisdiction that any person specified in paragraph (__) of Part I of this Schedule is incompetent due to a physical, mental or emotional condition resulting from injury, sickness, disease or other cause.</w:t>
      </w:r>
    </w:p>
    <w:p>
      <w:pPr>
        <w:pStyle w:val="Normal"/>
        <w:spacing w:lineRule="atLeast" w:line="240" w:before="240" w:after="0"/>
        <w:ind w:start="720" w:end="0"/>
        <w:jc w:val="both"/>
        <w:rPr/>
      </w:pPr>
      <w:r>
        <w:rPr>
          <w:sz w:val="22"/>
          <w:szCs w:val="22"/>
        </w:rPr>
        <w:t>(d)</w:t>
        <w:tab/>
        <w:t>“</w:t>
      </w:r>
      <w:r>
        <w:rPr>
          <w:b/>
          <w:bCs/>
          <w:sz w:val="22"/>
          <w:szCs w:val="22"/>
        </w:rPr>
        <w:t>Investment</w:t>
      </w:r>
      <w:r>
        <w:rPr>
          <w:sz w:val="22"/>
          <w:szCs w:val="22"/>
        </w:rPr>
        <w:t xml:space="preserve"> </w:t>
      </w:r>
      <w:r>
        <w:rPr>
          <w:b/>
          <w:bCs/>
          <w:sz w:val="22"/>
          <w:szCs w:val="22"/>
        </w:rPr>
        <w:t>Manager</w:t>
      </w:r>
      <w:r>
        <w:rPr>
          <w:sz w:val="22"/>
          <w:szCs w:val="22"/>
        </w:rPr>
        <w:t>” means ____________________.</w:t>
      </w:r>
    </w:p>
    <w:p>
      <w:pPr>
        <w:pStyle w:val="Normal"/>
        <w:spacing w:lineRule="atLeast" w:line="240" w:before="240" w:after="0"/>
        <w:ind w:start="720" w:end="0"/>
        <w:jc w:val="both"/>
        <w:rPr/>
      </w:pPr>
      <w:r>
        <w:rPr>
          <w:sz w:val="22"/>
          <w:szCs w:val="22"/>
        </w:rPr>
        <w:t>(e)</w:t>
        <w:tab/>
      </w:r>
      <w:r>
        <w:rPr>
          <w:b/>
          <w:bCs/>
          <w:sz w:val="22"/>
          <w:szCs w:val="22"/>
        </w:rPr>
        <w:t xml:space="preserve">“Investment Management Agreement” </w:t>
      </w:r>
      <w:r>
        <w:rPr>
          <w:sz w:val="22"/>
          <w:szCs w:val="22"/>
        </w:rPr>
        <w:t>means that certain agreement dated ___________ between Party B and Party C for managing the operations and affairs of Party B.</w:t>
      </w:r>
    </w:p>
    <w:p>
      <w:pPr>
        <w:pStyle w:val="BodyTextIndent"/>
        <w:spacing w:lineRule="atLeast" w:line="240"/>
        <w:rPr/>
      </w:pPr>
      <w:r>
        <w:rPr/>
        <w:t>(f)</w:t>
        <w:tab/>
      </w:r>
      <w:r>
        <w:rPr>
          <w:b/>
          <w:bCs/>
        </w:rPr>
        <w:t xml:space="preserve">“Investment Policy” </w:t>
      </w:r>
      <w:r>
        <w:rPr/>
        <w:t>means Party B’s investment policies and restrictions as set forth in Party B’s prospectus, which incorporates the use of derivative products, including swaps, options and other Transactions.</w:t>
      </w:r>
    </w:p>
    <w:p>
      <w:pPr>
        <w:pStyle w:val="Normal"/>
        <w:spacing w:lineRule="atLeast" w:line="240" w:before="240" w:after="0"/>
        <w:ind w:start="720" w:end="0"/>
        <w:jc w:val="both"/>
        <w:rPr/>
      </w:pPr>
      <w:r>
        <w:rPr>
          <w:sz w:val="22"/>
          <w:szCs w:val="22"/>
        </w:rPr>
        <w:t>(g)</w:t>
        <w:tab/>
      </w:r>
      <w:r>
        <w:rPr>
          <w:b/>
          <w:bCs/>
          <w:sz w:val="22"/>
          <w:szCs w:val="22"/>
        </w:rPr>
        <w:t xml:space="preserve">“Liabilities” </w:t>
      </w:r>
      <w:r>
        <w:rPr>
          <w:sz w:val="22"/>
          <w:szCs w:val="22"/>
        </w:rPr>
        <w:t>means all liabilities of Party B as would generally be classified as such in accordance with generally accepted accounting principles.</w:t>
      </w:r>
    </w:p>
    <w:p>
      <w:pPr>
        <w:pStyle w:val="Normal"/>
        <w:spacing w:lineRule="atLeast" w:line="240" w:before="240" w:after="0"/>
        <w:ind w:start="720" w:end="0"/>
        <w:jc w:val="both"/>
        <w:rPr/>
      </w:pPr>
      <w:r>
        <w:rPr>
          <w:sz w:val="22"/>
          <w:szCs w:val="22"/>
        </w:rPr>
        <w:t>(h)</w:t>
        <w:tab/>
      </w:r>
      <w:r>
        <w:rPr>
          <w:b/>
          <w:bCs/>
          <w:sz w:val="22"/>
          <w:szCs w:val="22"/>
        </w:rPr>
        <w:t xml:space="preserve">“Operative Document” </w:t>
      </w:r>
      <w:r>
        <w:rPr>
          <w:sz w:val="22"/>
          <w:szCs w:val="22"/>
        </w:rPr>
        <w:t>has the meaning given such term in Part 1(j)(i)(h) of this Schedule.</w:t>
      </w:r>
    </w:p>
    <w:p>
      <w:pPr>
        <w:pStyle w:val="Normal"/>
        <w:spacing w:lineRule="atLeast" w:line="240" w:before="240" w:after="0"/>
        <w:ind w:start="720" w:end="0"/>
        <w:jc w:val="both"/>
        <w:rPr/>
      </w:pPr>
      <w:r>
        <w:rPr>
          <w:sz w:val="22"/>
          <w:szCs w:val="22"/>
        </w:rPr>
        <w:t>(i)</w:t>
        <w:tab/>
      </w:r>
      <w:r>
        <w:rPr>
          <w:b/>
          <w:bCs/>
          <w:sz w:val="22"/>
          <w:szCs w:val="22"/>
        </w:rPr>
        <w:t xml:space="preserve">“Statement of Accounting Principles” </w:t>
      </w:r>
      <w:r>
        <w:rPr>
          <w:sz w:val="22"/>
          <w:szCs w:val="22"/>
        </w:rPr>
        <w:t>means _____________________________.</w:t>
      </w:r>
    </w:p>
    <w:p>
      <w:pPr>
        <w:pStyle w:val="Normal"/>
        <w:spacing w:lineRule="atLeast" w:line="240" w:before="240" w:after="0"/>
        <w:ind w:start="720" w:end="0"/>
        <w:jc w:val="both"/>
        <w:rPr>
          <w:b/>
          <w:bCs/>
          <w:sz w:val="22"/>
          <w:szCs w:val="22"/>
        </w:rPr>
      </w:pPr>
      <w:r>
        <w:rPr>
          <w:b/>
          <w:bCs/>
          <w:sz w:val="22"/>
          <w:szCs w:val="22"/>
        </w:rPr>
      </w:r>
    </w:p>
    <w:p>
      <w:pPr>
        <w:pStyle w:val="Normal"/>
        <w:spacing w:lineRule="atLeast" w:line="240" w:before="240" w:after="0"/>
        <w:ind w:start="720" w:end="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“Fallback Reference Dealers”; provided however,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 xml:space="preserve">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w:t>
      </w:r>
      <w:r>
        <w:br w:type="page"/>
      </w:r>
    </w:p>
    <w:p>
      <w:pPr>
        <w:pStyle w:val="Normal"/>
        <w:ind w:end="0"/>
        <w:jc w:val="both"/>
        <w:rPr>
          <w:sz w:val="22"/>
          <w:szCs w:val="22"/>
        </w:rPr>
      </w:pPr>
      <w:r>
        <w:rPr>
          <w:sz w:val="22"/>
          <w:szCs w:val="22"/>
        </w:rPr>
        <w:t>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[PARTY B]</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b/>
          <w:bCs/>
          <w:sz w:val="22"/>
          <w:szCs w:val="22"/>
        </w:rPr>
      </w:pPr>
      <w:r>
        <w:rPr>
          <w:b/>
          <w:bCs/>
          <w:sz w:val="22"/>
          <w:szCs w:val="22"/>
        </w:rPr>
        <w:t>[PARTY C]</w:t>
      </w:r>
    </w:p>
    <w:p>
      <w:pPr>
        <w:pStyle w:val="Normal"/>
        <w:keepNext w:val="true"/>
        <w:tabs>
          <w:tab w:val="clear" w:pos="720"/>
          <w:tab w:val="left" w:pos="2880" w:leader="none"/>
        </w:tabs>
        <w:spacing w:lineRule="exact" w:line="240"/>
        <w:ind w:hanging="2880" w:start="2880" w:end="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t xml:space="preserve">Date:     </w:t>
      </w:r>
      <w:r>
        <w:rPr>
          <w:sz w:val="22"/>
          <w:szCs w:val="22"/>
          <w:u w:val="single"/>
        </w:rPr>
        <w:tab/>
        <w:tab/>
        <w:tab/>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 (the “Counterparty”), in connection with the execution and delivery by the Counterparty of an ISDA Master Agreement dated as of 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 duly existing under the laws of 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br/>
        <w:tab/>
        <w:t>7.  Under the laws of 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start="1" w:fmt="decimal"/>
          <w:formProt w:val="false"/>
          <w:textDirection w:val="lrTb"/>
          <w:docGrid w:type="default" w:linePitch="360" w:charSpace="0"/>
        </w:sectPr>
        <w:pStyle w:val="Normal"/>
        <w:jc w:val="center"/>
        <w:rPr>
          <w:sz w:val="22"/>
          <w:szCs w:val="22"/>
        </w:rPr>
      </w:pPr>
      <w:r>
        <w:rPr>
          <w:sz w:val="22"/>
          <w:szCs w:val="22"/>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April 20,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 xml:space="preserve">________________________________________, </w:t>
            </w:r>
            <w:r>
              <w:rPr>
                <w:b/>
                <w:bCs/>
                <w:sz w:val="22"/>
                <w:szCs w:val="22"/>
              </w:rPr>
              <w:t xml:space="preserve"> a __________ organized under the law of _________________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108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Rider A1 except that, if an Independent Amount or Independent Amounts are specified for a party, the Credit Support Amount for such party will never be less than the aggregate of all Independent Amounts applicable to that party.</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 provided, however, that in no event shall Party B’s Independent Amount be less than $___________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the face amount thereof.</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 xml:space="preserve">(1) Party A is not a Defaulting Party </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an Additional Termination Event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keepNext w:val="true"/>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_________________________, a 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/mnt/main-storage/datasets/enron-docs/doc/isda_multicurrency_06_06_01_Hedge_Fund__No_IML__Clean_.doc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/mnt/main-storage/datasets/enron-docs/doc/isda_multicurrency_06_06_01_Hedge_Fund__No_IML__Clean_.doc</w:t>
    </w:r>
    <w:r>
      <w:rPr>
        <w:rStyle w:val="PageNumber"/>
        <w:sz w:val="16"/>
        <w:szCs w:val="16"/>
      </w:rPr>
      <w:fldChar w:fldCharType="end"/>
    </w:r>
  </w:p>
  <w:p>
    <w:pPr>
      <w:pStyle w:val="Normal"/>
      <w:jc w:val="center"/>
      <w:rPr/>
    </w:pPr>
    <w:r>
      <w:rPr>
        <w:rStyle w:val="PageNumber"/>
        <w:sz w:val="20"/>
        <w:szCs w:val="16"/>
      </w:rPr>
      <w:t>Attachment 1</w:t>
    </w:r>
  </w:p>
  <w:p>
    <w:pPr>
      <w:pStyle w:val="Normal"/>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/mnt/main-storage/datasets/enron-docs/doc/isda_multicurrency_06_06_01_Hedge_Fund__No_IML__Clean_.doc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/mnt/main-storage/datasets/enron-docs/doc/isda_multicurrency_06_06_01_Hedge_Fund__No_IML__Clean_.doc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Use when dealing with hedge funds that are located offshore.</w:t>
      </w:r>
    </w:p>
  </w:footnote>
  <w:footnote w:id="3">
    <w:p>
      <w:pPr>
        <w:pStyle w:val="FootnoteText"/>
        <w:rPr/>
      </w:pPr>
      <w:r>
        <w:rPr>
          <w:rStyle w:val="FootnoteCharacters"/>
        </w:rPr>
        <w:footnoteRef/>
      </w:r>
      <w:r>
        <w:rPr/>
        <w:t xml:space="preserve"> </w:t>
      </w:r>
      <w:r>
        <w:rPr/>
        <w:t>Depending upon the structure of the counterparty, the definition of “Affiliate” may change.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320"/>
        </w:tabs>
        <w:ind w:start="1320" w:hanging="36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lowerLetter"/>
      <w:lvlText w:val="(%1)"/>
      <w:lvlJc w:val="start"/>
      <w:pPr>
        <w:tabs>
          <w:tab w:val="num" w:pos="1440"/>
        </w:tabs>
        <w:ind w:start="1440" w:hanging="720"/>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2"/>
      <w:numFmt w:val="lowerLetter"/>
      <w:lvlText w:val="(%1)"/>
      <w:lvlJc w:val="start"/>
      <w:pPr>
        <w:tabs>
          <w:tab w:val="num" w:pos="2160"/>
        </w:tabs>
        <w:ind w:start="2160" w:hanging="1440"/>
      </w:pPr>
      <w:rPr/>
    </w:lvl>
  </w:abstractNum>
  <w:abstractNum w:abstractNumId="8">
    <w:lvl w:ilvl="0">
      <w:start w:val="2"/>
      <w:numFmt w:val="lowerRoman"/>
      <w:lvlText w:val="(%1)"/>
      <w:lvlJc w:val="start"/>
      <w:pPr>
        <w:tabs>
          <w:tab w:val="num" w:pos="900"/>
        </w:tabs>
        <w:ind w:start="9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keepLines/>
      <w:numPr>
        <w:ilvl w:val="5"/>
        <w:numId w:val="1"/>
      </w:numPr>
      <w:tabs>
        <w:tab w:val="clear" w:pos="720"/>
        <w:tab w:val="left" w:pos="3132" w:leader="none"/>
      </w:tabs>
      <w:spacing w:lineRule="atLeast" w:line="240"/>
      <w:outlineLvl w:val="5"/>
    </w:pPr>
    <w:rPr>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2001-06-06T18:49:00Z</dcterms:created>
  <dc:creator>mheard</dc:creator>
  <dc:description/>
  <dc:language>en-CA</dc:language>
  <cp:lastModifiedBy>fsayre</cp:lastModifiedBy>
  <cp:lastPrinted>2001-06-06T14:38:00Z</cp:lastPrinted>
  <dcterms:modified xsi:type="dcterms:W3CDTF">2001-06-06T18:49:00Z</dcterms:modified>
  <cp:revision>2</cp:revision>
  <dc:subject/>
  <dc:title>ISDA Multicurrency Agreement</dc:title>
</cp:coreProperties>
</file>