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Interactive Open Season</w:t>
      </w:r>
    </w:p>
    <w:p>
      <w:pPr>
        <w:pStyle w:val="Normal"/>
        <w:jc w:val="center"/>
        <w:rPr>
          <w:b/>
          <w:bCs/>
        </w:rPr>
      </w:pPr>
      <w:r>
        <w:rPr>
          <w:b/>
          <w:bCs/>
        </w:rPr>
      </w:r>
    </w:p>
    <w:p>
      <w:pPr>
        <w:pStyle w:val="Normal"/>
        <w:rPr/>
      </w:pPr>
      <w:r>
        <w:rPr/>
        <w:t>Transwestern Pipeline Company ("TW") hereby provides notice that on Thursday, August 10, 2000, it will hold an Interactive Open Season for the following package of firm transportation capacity: 14,000 Dth/day of capacity from Transwestern’s East of Thoreau Area to PG&amp;E/Topock for the term April 1, 2001 – October 31, 2001. The Interactive Open Season will proceed as follows:</w:t>
      </w:r>
    </w:p>
    <w:p>
      <w:pPr>
        <w:pStyle w:val="Normal"/>
        <w:rPr/>
      </w:pPr>
      <w:r>
        <w:rPr/>
      </w:r>
    </w:p>
    <w:p>
      <w:pPr>
        <w:pStyle w:val="Normal"/>
        <w:rPr>
          <w:b/>
          <w:bCs/>
        </w:rPr>
      </w:pPr>
      <w:r>
        <w:rPr>
          <w:b/>
          <w:bCs/>
        </w:rPr>
        <w:t>A.</w:t>
        <w:tab/>
      </w:r>
      <w:r>
        <w:rPr>
          <w:b/>
          <w:bCs/>
          <w:u w:val="single"/>
        </w:rPr>
        <w:t>Interactive Open Season Procedures</w:t>
      </w:r>
    </w:p>
    <w:p>
      <w:pPr>
        <w:pStyle w:val="Normal"/>
        <w:rPr>
          <w:b/>
          <w:bCs/>
        </w:rPr>
      </w:pPr>
      <w:r>
        <w:rPr>
          <w:b/>
          <w:bCs/>
        </w:rPr>
      </w:r>
    </w:p>
    <w:p>
      <w:pPr>
        <w:pStyle w:val="Normal"/>
        <w:ind w:hanging="720" w:start="720" w:end="0"/>
        <w:jc w:val="both"/>
        <w:rPr/>
      </w:pPr>
      <w:r>
        <w:rPr/>
        <w:t>1.</w:t>
        <w:tab/>
      </w:r>
      <w:r>
        <w:rPr>
          <w:lang w:val="en-CA"/>
        </w:rPr>
        <w:t>Prior to 5:00 p.m. on Tuesday, August 8,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Thursday, August 10,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Thursday, August 10,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bCs/>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other  than those specified in the offered bid package.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tabs>
          <w:tab w:val="clear" w:pos="720"/>
          <w:tab w:val="left" w:pos="0" w:leader="none"/>
        </w:tabs>
        <w:ind w:hanging="720" w:start="1440" w:end="0"/>
        <w:jc w:val="both"/>
        <w:rPr/>
      </w:pPr>
      <w:r>
        <w:rPr/>
        <w:t>Bids shall be evaluated based on the total cost commitment to TW.  A Maximum Rate bid is defined as a bid equivalent to the maximum tariff Reservation Charge plus the tariff Commodity Rate, with a 100% minimum throughput commitment.</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In the event of a tie bid, capacity will be awarded by lottery.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bCs/>
        </w:rPr>
        <w:tab/>
      </w:r>
      <w:r>
        <w:rPr>
          <w:b/>
          <w:bCs/>
          <w:u w:val="single"/>
        </w:rPr>
        <w:t>Bid Package</w:t>
      </w:r>
      <w:r>
        <w:rPr/>
        <w:t xml:space="preserve"> </w:t>
      </w:r>
      <w:r>
        <w:rPr>
          <w:b/>
          <w:bCs/>
        </w:rPr>
        <w:t># 17</w:t>
      </w:r>
    </w:p>
    <w:p>
      <w:pPr>
        <w:pStyle w:val="Normal"/>
        <w:rPr>
          <w:b/>
          <w:bCs/>
        </w:rPr>
      </w:pPr>
      <w:r>
        <w:rPr>
          <w:b/>
          <w:bCs/>
        </w:rPr>
      </w:r>
    </w:p>
    <w:p>
      <w:pPr>
        <w:pStyle w:val="Normal"/>
        <w:ind w:start="720" w:end="0"/>
        <w:rPr/>
      </w:pPr>
      <w:r>
        <w:rPr/>
        <w:t>Volume:</w:t>
        <w:tab/>
        <w:tab/>
        <w:tab/>
        <w:t xml:space="preserve">14,000 /Dth/day </w:t>
      </w:r>
    </w:p>
    <w:p>
      <w:pPr>
        <w:pStyle w:val="Normal"/>
        <w:ind w:start="720" w:end="0"/>
        <w:rPr/>
      </w:pPr>
      <w:r>
        <w:rPr/>
        <w:t>Term:</w:t>
        <w:tab/>
        <w:tab/>
        <w:tab/>
        <w:t>7 Months (April 1, 2001 through October 31, 2001)</w:t>
      </w:r>
    </w:p>
    <w:p>
      <w:pPr>
        <w:pStyle w:val="Normal"/>
        <w:ind w:hanging="1440" w:start="2160" w:end="0"/>
        <w:rPr/>
      </w:pPr>
      <w:r>
        <w:rPr/>
        <w:t>Primary Receipt Points:</w:t>
        <w:tab/>
        <w:t>East of Thoreau Area, subject to available capacity</w:t>
      </w:r>
    </w:p>
    <w:p>
      <w:pPr>
        <w:pStyle w:val="Normal"/>
        <w:ind w:hanging="1440" w:start="2160" w:end="0"/>
        <w:rPr/>
      </w:pPr>
      <w:r>
        <w:rPr/>
        <w:t>Alternate Receipt Points:</w:t>
        <w:tab/>
        <w:t>All alternate receipt points in Transwestern’s East of Thoreau</w:t>
      </w:r>
    </w:p>
    <w:p>
      <w:pPr>
        <w:pStyle w:val="Normal"/>
        <w:ind w:hanging="1440" w:start="2160" w:end="0"/>
        <w:rPr/>
      </w:pPr>
      <w:r>
        <w:rPr/>
        <w:tab/>
        <w:tab/>
        <w:t>Area, excluding Rio Puerco.</w:t>
      </w:r>
    </w:p>
    <w:p>
      <w:pPr>
        <w:pStyle w:val="Normal"/>
        <w:ind w:hanging="2160" w:start="2880" w:end="0"/>
        <w:rPr/>
      </w:pPr>
      <w:r>
        <w:rPr/>
        <w:t>Delivery Point:</w:t>
        <w:tab/>
        <w:t>PG&amp;E/Topock POI #56698</w:t>
      </w:r>
    </w:p>
    <w:p>
      <w:pPr>
        <w:pStyle w:val="Normal"/>
        <w:ind w:hanging="2160" w:start="2880" w:end="0"/>
        <w:rPr/>
      </w:pPr>
      <w:r>
        <w:rPr/>
        <w:t>Alternate Delivery Points:</w:t>
        <w:tab/>
        <w:t>SoCal/Needles POI #0010487, Mojave/Topock POI #0056696,</w:t>
      </w:r>
    </w:p>
    <w:p>
      <w:pPr>
        <w:pStyle w:val="Normal"/>
        <w:ind w:start="2880" w:end="0"/>
        <w:rPr/>
      </w:pPr>
      <w:r>
        <w:rPr/>
        <w:t>Citizens Griffith POI #78609*</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firstLine="720" w:end="0"/>
        <w:rPr>
          <w:u w:val="single"/>
        </w:rPr>
      </w:pPr>
      <w:r>
        <w:rPr>
          <w:u w:val="single"/>
        </w:rPr>
      </w:r>
    </w:p>
    <w:p>
      <w:pPr>
        <w:pStyle w:val="Normal"/>
        <w:ind w:firstLine="720" w:end="0"/>
        <w:rPr>
          <w:u w:val="single"/>
        </w:rPr>
      </w:pPr>
      <w:r>
        <w:rPr>
          <w:u w:val="single"/>
        </w:rPr>
      </w:r>
    </w:p>
    <w:p>
      <w:pPr>
        <w:pStyle w:val="Normal"/>
        <w:ind w:firstLine="720" w:end="0"/>
        <w:rPr/>
      </w:pPr>
      <w:r>
        <w:rPr/>
        <w:t xml:space="preserve">* It is anticipated that the Citizens Griffith delivery point will be activated during the term of this Agreement. </w:t>
      </w:r>
    </w:p>
    <w:p>
      <w:pPr>
        <w:pStyle w:val="Normal"/>
        <w:ind w:start="720" w:end="0"/>
        <w:rPr/>
      </w:pPr>
      <w:r>
        <w:rPr/>
      </w:r>
    </w:p>
    <w:p>
      <w:pPr>
        <w:pStyle w:val="Normal"/>
        <w:rPr/>
      </w:pPr>
      <w:r>
        <w:rPr/>
        <w:tab/>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2000-08-03T11:55:00Z</dcterms:created>
  <dc:creator>Mike Zoch</dc:creator>
  <dc:description/>
  <dc:language>en-CA</dc:language>
  <cp:lastModifiedBy>Enron</cp:lastModifiedBy>
  <cp:lastPrinted>2000-08-03T08:46:00Z</cp:lastPrinted>
  <dcterms:modified xsi:type="dcterms:W3CDTF">2000-08-03T16:12:00Z</dcterms:modified>
  <cp:revision>4</cp:revision>
  <dc:subject/>
  <dc:title>Notice of Interactive Open Season</dc:title>
</cp:coreProperties>
</file>