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Revised Notice of Interactive Open Season</w:t>
      </w:r>
    </w:p>
    <w:p>
      <w:pPr>
        <w:pStyle w:val="Normal"/>
        <w:jc w:val="center"/>
        <w:rPr>
          <w:b/>
        </w:rPr>
      </w:pPr>
      <w:r>
        <w:rPr>
          <w:b/>
        </w:rPr>
      </w:r>
    </w:p>
    <w:p>
      <w:pPr>
        <w:pStyle w:val="Normal"/>
        <w:rPr/>
      </w:pPr>
      <w:r>
        <w:rPr/>
        <w:t xml:space="preserve">Transwestern Pipeline Company ("TW") hereby provides notice that on Friday, July 21, 2000, it will hold an Interactive Open Season for two separate packages of firm transportation capacity:  (1) 20,000 Dth/day for 3 months (Aug. - Oct.) and (2) 49,000 Dth/d for one year (Nov. '00 - Oct. '01).  </w:t>
      </w:r>
      <w:r>
        <w:rPr>
          <w:caps/>
        </w:rPr>
        <w:t>This notice supersedes the notice previously posted, and contains changes to paragraphs 8 and 10 only.</w:t>
      </w:r>
    </w:p>
    <w:p>
      <w:pPr>
        <w:pStyle w:val="Normal"/>
        <w:rPr>
          <w:caps/>
        </w:rPr>
      </w:pPr>
      <w:r>
        <w:rPr>
          <w:caps/>
        </w:rPr>
      </w:r>
    </w:p>
    <w:p>
      <w:pPr>
        <w:pStyle w:val="Normal"/>
        <w:rPr/>
      </w:pPr>
      <w:r>
        <w:rPr/>
        <w:t>The Interactive Open Season will proceed as follows:</w:t>
      </w:r>
    </w:p>
    <w:p>
      <w:pPr>
        <w:pStyle w:val="Normal"/>
        <w:rPr/>
      </w:pPr>
      <w:r>
        <w:rPr/>
      </w:r>
    </w:p>
    <w:p>
      <w:pPr>
        <w:pStyle w:val="Normal"/>
        <w:rPr>
          <w:b/>
        </w:rPr>
      </w:pPr>
      <w:r>
        <w:rPr>
          <w:b/>
        </w:rPr>
        <w:t>A.</w:t>
        <w:tab/>
      </w:r>
      <w:r>
        <w:rPr>
          <w:b/>
          <w:u w:val="single"/>
        </w:rPr>
        <w:t>Interactive Open Season Procedures</w:t>
      </w:r>
    </w:p>
    <w:p>
      <w:pPr>
        <w:pStyle w:val="Normal"/>
        <w:rPr>
          <w:b/>
        </w:rPr>
      </w:pPr>
      <w:r>
        <w:rPr>
          <w:b/>
        </w:rPr>
      </w:r>
    </w:p>
    <w:p>
      <w:pPr>
        <w:pStyle w:val="Normal"/>
        <w:ind w:hanging="720" w:start="720" w:end="0"/>
        <w:jc w:val="both"/>
        <w:rPr/>
      </w:pPr>
      <w:r>
        <w:rPr/>
        <w:t>1.</w:t>
        <w:tab/>
      </w:r>
      <w:r>
        <w:rPr>
          <w:lang w:val="en-CA"/>
        </w:rPr>
        <w:t>Prior to 5:00 p.m. on Wednesday, July 19, 2000 all parties desiring to be eligible to bid on the Bid Package must have submitted a properly executed Service Request Form consistent with § 10 of TW's FTS-1 Rate Schedule.  Once the Service Request Form is processed and credit approval is received, the Shipper will receive a Shipper Identification Number (SIN) which serves as the password for security access into the EBB or on the World Wide Web (“WWW”) for bidding on any of the Bid Packages identified below.  (If you don’t currently have access to the EBB, please contact the HotTap Help Desk at (713) 853-6063 or toll free at (800) 421-6221.)</w:t>
      </w:r>
    </w:p>
    <w:p>
      <w:pPr>
        <w:pStyle w:val="Normal"/>
        <w:jc w:val="both"/>
        <w:rPr>
          <w:lang w:val="en-CA"/>
        </w:rPr>
      </w:pPr>
      <w:r>
        <w:rPr>
          <w:lang w:val="en-CA"/>
        </w:rPr>
      </w:r>
    </w:p>
    <w:p>
      <w:pPr>
        <w:pStyle w:val="Normal"/>
        <w:ind w:hanging="720" w:start="720" w:end="0"/>
        <w:jc w:val="both"/>
        <w:rPr/>
      </w:pPr>
      <w:r>
        <w:rPr>
          <w:lang w:val="en-CA"/>
        </w:rPr>
        <w:t>2.</w:t>
        <w:tab/>
        <w:t>TW will accept bids for the Bid Package identified below</w:t>
      </w:r>
      <w:r>
        <w:rPr/>
        <w:t xml:space="preserve"> on Friday, July 21, 2000, commencing at </w:t>
      </w:r>
      <w:r>
        <w:rPr>
          <w:u w:val="single"/>
        </w:rPr>
        <w:t xml:space="preserve">10:00 </w:t>
      </w:r>
      <w:r>
        <w:rPr>
          <w:u w:val="single"/>
          <w:lang w:val="en-CA"/>
        </w:rPr>
        <w:t>a.m. C.C.T. and extending until the later of</w:t>
      </w:r>
      <w:r>
        <w:rPr>
          <w:lang w:val="en-CA"/>
        </w:rPr>
        <w:t xml:space="preserve">:  i) </w:t>
      </w:r>
      <w:r>
        <w:rPr>
          <w:u w:val="single"/>
          <w:lang w:val="en-CA"/>
        </w:rPr>
        <w:t xml:space="preserve">2:00 p.m. </w:t>
      </w:r>
      <w:r>
        <w:rPr>
          <w:lang w:val="en-CA"/>
        </w:rPr>
        <w:t xml:space="preserve">C.C.T. on </w:t>
      </w:r>
      <w:r>
        <w:rPr/>
        <w:t>Friday, July 21, 2000</w:t>
      </w:r>
      <w:r>
        <w:rPr>
          <w:lang w:val="en-CA"/>
        </w:rPr>
        <w:t xml:space="preserve">; or ii) five (5) minutes after the last bid, which is higher than the lowest Viewable Bid, </w:t>
      </w:r>
      <w:r>
        <w:rPr>
          <w:u w:val="single"/>
          <w:lang w:val="en-CA"/>
        </w:rPr>
        <w:t>posted</w:t>
      </w:r>
      <w:r>
        <w:rPr>
          <w:lang w:val="en-CA"/>
        </w:rPr>
        <w:t xml:space="preserve"> to the EBB and WWW locations.  (Note: the EBB and WWW locations will contain a visible bidding deadline clock.)</w:t>
      </w:r>
    </w:p>
    <w:p>
      <w:pPr>
        <w:pStyle w:val="Normal"/>
        <w:ind w:hanging="720" w:start="720" w:end="0"/>
        <w:jc w:val="both"/>
        <w:rPr>
          <w:lang w:val="en-CA"/>
        </w:rPr>
      </w:pPr>
      <w:r>
        <w:rPr>
          <w:lang w:val="en-CA"/>
        </w:rPr>
      </w:r>
    </w:p>
    <w:p>
      <w:pPr>
        <w:pStyle w:val="Normal"/>
        <w:ind w:hanging="720" w:start="720" w:end="0"/>
        <w:jc w:val="both"/>
        <w:rPr>
          <w:lang w:val="en-CA"/>
        </w:rPr>
      </w:pPr>
      <w:r>
        <w:rPr>
          <w:lang w:val="en-CA"/>
        </w:rPr>
        <w:t>3.</w:t>
        <w:tab/>
        <w:t>Bids will be considered valid only if submitted in increments of at least one tenth of one cent (3 decimal places).</w:t>
      </w:r>
    </w:p>
    <w:p>
      <w:pPr>
        <w:pStyle w:val="Normal"/>
        <w:ind w:hanging="720" w:start="720" w:end="0"/>
        <w:jc w:val="both"/>
        <w:rPr>
          <w:lang w:val="en-CA"/>
        </w:rPr>
      </w:pPr>
      <w:r>
        <w:rPr>
          <w:lang w:val="en-CA"/>
        </w:rPr>
      </w:r>
    </w:p>
    <w:p>
      <w:pPr>
        <w:pStyle w:val="Normal"/>
        <w:ind w:hanging="720" w:start="720" w:end="0"/>
        <w:jc w:val="both"/>
        <w:rPr/>
      </w:pPr>
      <w:r>
        <w:rPr>
          <w:lang w:val="en-CA"/>
        </w:rPr>
        <w:t>4.</w:t>
        <w:tab/>
      </w:r>
      <w:r>
        <w:rPr>
          <w:b/>
          <w:caps/>
          <w:lang w:val="en-CA"/>
        </w:rPr>
        <w:t>All bids must be submitted electronically</w:t>
      </w:r>
      <w:r>
        <w:rPr>
          <w:lang w:val="en-CA"/>
        </w:rPr>
        <w:t xml:space="preserve"> on the EBB behind the Bid Solicitation tab or on the WWW at http://www.ios.enron.com/ios.html.  When bids are submitted electronically, the Shipper will receive verification of a transmitted bid and notification of their bid-number; provided, however, the only bids which will be viewable on the EBB and WWW locations will be the highest rate bids that would fully subscribe the bid package if all bids were accepted by TW (“Viewable Bids”).</w:t>
      </w:r>
    </w:p>
    <w:p>
      <w:pPr>
        <w:pStyle w:val="Normal"/>
        <w:ind w:hanging="720" w:start="720" w:end="0"/>
        <w:jc w:val="both"/>
        <w:rPr>
          <w:lang w:val="en-CA"/>
        </w:rPr>
      </w:pPr>
      <w:r>
        <w:rPr>
          <w:lang w:val="en-CA"/>
        </w:rPr>
      </w:r>
    </w:p>
    <w:p>
      <w:pPr>
        <w:pStyle w:val="Normal"/>
        <w:ind w:hanging="720" w:start="720" w:end="0"/>
        <w:jc w:val="both"/>
        <w:rPr>
          <w:lang w:val="en-CA"/>
        </w:rPr>
      </w:pPr>
      <w:r>
        <w:rPr>
          <w:lang w:val="en-CA"/>
        </w:rPr>
        <w:t>5.</w:t>
        <w:tab/>
        <w:t xml:space="preserve">To ensure equal and fair treatment to all parties, bids must be consistent with the offered bid package (including, but not limited to volume and term).  Bids may not be conditioned in any way. Any non-conforming bids or conditional bids will be void and will not be posted. To further clarify, bids may not be conditioned upon the winning of another bid, nor may a bid be conditioned upon the use of alternate receipt and/or delivery points at the bid rate.  </w:t>
      </w:r>
    </w:p>
    <w:p>
      <w:pPr>
        <w:pStyle w:val="Normal"/>
        <w:ind w:hanging="720" w:start="720" w:end="0"/>
        <w:jc w:val="both"/>
        <w:rPr>
          <w:lang w:val="en-CA"/>
        </w:rPr>
      </w:pPr>
      <w:r>
        <w:rPr>
          <w:lang w:val="en-CA"/>
        </w:rPr>
      </w:r>
    </w:p>
    <w:p>
      <w:pPr>
        <w:pStyle w:val="Normal"/>
        <w:ind w:hanging="720" w:start="720" w:end="0"/>
        <w:jc w:val="both"/>
        <w:rPr>
          <w:lang w:val="en-CA"/>
        </w:rPr>
      </w:pPr>
      <w:r>
        <w:rPr>
          <w:lang w:val="en-CA"/>
        </w:rPr>
        <w:t>6.</w:t>
        <w:tab/>
        <w:t>Bids will be carried out to 3 decimal places unless Shipper bids the Maximum Rate in which case a MAX RATE button will be provided which will carry the bid out to 4 decimal places.  Any or all bids shall be binding.  However, bids may be withdrawn prior to the bidding deadline.  A party withdrawing one or more bids may not later bid a lower rate than the withdrawn bid.  No bids may be withdrawn after the bidding deadline.</w:t>
      </w:r>
    </w:p>
    <w:p>
      <w:pPr>
        <w:pStyle w:val="Normal"/>
        <w:ind w:hanging="720" w:start="720" w:end="0"/>
        <w:jc w:val="both"/>
        <w:rPr>
          <w:lang w:val="en-CA"/>
        </w:rPr>
      </w:pPr>
      <w:r>
        <w:rPr>
          <w:lang w:val="en-CA"/>
        </w:rPr>
      </w:r>
    </w:p>
    <w:p>
      <w:pPr>
        <w:pStyle w:val="Normal"/>
        <w:ind w:hanging="720" w:start="720" w:end="0"/>
        <w:jc w:val="both"/>
        <w:rPr/>
      </w:pPr>
      <w:r>
        <w:rPr/>
        <w:t>7.</w:t>
        <w:tab/>
        <w:t>TW reserves the right to reject any bids which are less than the maximum tariff rate.</w:t>
      </w:r>
    </w:p>
    <w:p>
      <w:pPr>
        <w:pStyle w:val="Normal"/>
        <w:ind w:hanging="720" w:start="720" w:end="0"/>
        <w:jc w:val="both"/>
        <w:rPr/>
      </w:pPr>
      <w:r>
        <w:rPr/>
      </w:r>
    </w:p>
    <w:p>
      <w:pPr>
        <w:pStyle w:val="Normal"/>
        <w:numPr>
          <w:ilvl w:val="0"/>
          <w:numId w:val="1"/>
        </w:numPr>
        <w:jc w:val="both"/>
        <w:rPr/>
      </w:pPr>
      <w:r>
        <w:rPr/>
        <w:t xml:space="preserve">If rate being bid is below the maximum Reservation Charge, the highest Maximum Rate value is defined as a Two-Part bid consisting of the maximum Reservation Charge plus the tariff Commodity Rate with a 100% Minimum Throughput Commitment.  If the rate being bid </w:t>
      </w:r>
      <w:r>
        <w:rPr>
          <w:i/>
        </w:rPr>
        <w:t>is</w:t>
      </w:r>
      <w:r>
        <w:rPr/>
        <w:t xml:space="preserve"> the maximum Reservation Charge, the highest Maximum Rate value is defined as a One-Part bid consisting of the maximum Reservation Charge. </w:t>
      </w:r>
    </w:p>
    <w:p>
      <w:pPr>
        <w:pStyle w:val="Normal"/>
        <w:jc w:val="both"/>
        <w:rPr/>
      </w:pPr>
      <w:r>
        <w:rPr/>
      </w:r>
    </w:p>
    <w:p>
      <w:pPr>
        <w:pStyle w:val="Normal"/>
        <w:ind w:hanging="720" w:start="720" w:end="0"/>
        <w:jc w:val="both"/>
        <w:rPr/>
      </w:pPr>
      <w:r>
        <w:rPr/>
        <w:t>9.</w:t>
        <w:tab/>
        <w:t xml:space="preserve">TW shall award capacity on a nondiscriminatory basis consistent with the foregoing.  TW shall notify the parties with Viewable Bids whether or not TW has accepted their bid no later than 2 hours after the bid deadline. The parties shall enter into a firm transportation agreement consistent with the terms of the Bid Package and the bid. </w:t>
      </w:r>
    </w:p>
    <w:p>
      <w:pPr>
        <w:pStyle w:val="Normal"/>
        <w:ind w:hanging="720" w:start="720" w:end="0"/>
        <w:jc w:val="both"/>
        <w:rPr/>
      </w:pPr>
      <w:r>
        <w:rPr/>
      </w:r>
    </w:p>
    <w:p>
      <w:pPr>
        <w:pStyle w:val="Normal"/>
        <w:ind w:hanging="720" w:start="720" w:end="0"/>
        <w:jc w:val="both"/>
        <w:rPr/>
      </w:pPr>
      <w:r>
        <w:rPr/>
        <w:t>10.</w:t>
        <w:tab/>
        <w:t>In the event of a tie bid, capacity will be awarded by lottery according to Rate Schedule FTS-1 of Transwestern's FERC Gas Tariff.  TW shall post on the EBB and WWW locations the lowest accepted rate bid for the Bid Package within 24 hours after execution of the firm transportation agreements resulting from the Bid Package.</w:t>
      </w:r>
    </w:p>
    <w:p>
      <w:pPr>
        <w:pStyle w:val="Normal"/>
        <w:jc w:val="both"/>
        <w:rPr/>
      </w:pPr>
      <w:r>
        <w:rPr/>
      </w:r>
      <w:r>
        <w:br w:type="page"/>
      </w:r>
    </w:p>
    <w:p>
      <w:pPr>
        <w:pStyle w:val="Normal"/>
        <w:rPr/>
      </w:pPr>
      <w:r>
        <w:rPr/>
      </w:r>
    </w:p>
    <w:p>
      <w:pPr>
        <w:pStyle w:val="Normal"/>
        <w:rPr/>
      </w:pPr>
      <w:r>
        <w:rPr>
          <w:b/>
        </w:rPr>
        <w:t>B.</w:t>
        <w:tab/>
      </w:r>
      <w:r>
        <w:rPr>
          <w:b/>
          <w:u w:val="single"/>
        </w:rPr>
        <w:t>Bid Package</w:t>
      </w:r>
      <w:r>
        <w:rPr/>
        <w:t xml:space="preserve"> </w:t>
      </w:r>
      <w:r>
        <w:rPr>
          <w:b/>
        </w:rPr>
        <w:t># 15</w:t>
      </w:r>
    </w:p>
    <w:p>
      <w:pPr>
        <w:pStyle w:val="Normal"/>
        <w:rPr>
          <w:b/>
        </w:rPr>
      </w:pPr>
      <w:r>
        <w:rPr>
          <w:b/>
        </w:rPr>
      </w:r>
    </w:p>
    <w:p>
      <w:pPr>
        <w:pStyle w:val="Normal"/>
        <w:ind w:start="720" w:end="0"/>
        <w:rPr/>
      </w:pPr>
      <w:r>
        <w:rPr/>
        <w:t>Volume:</w:t>
        <w:tab/>
        <w:tab/>
        <w:tab/>
        <w:t xml:space="preserve">20,000 /Dth/day </w:t>
      </w:r>
    </w:p>
    <w:p>
      <w:pPr>
        <w:pStyle w:val="Normal"/>
        <w:ind w:start="720" w:end="0"/>
        <w:rPr/>
      </w:pPr>
      <w:r>
        <w:rPr/>
        <w:t>Term:</w:t>
        <w:tab/>
        <w:tab/>
        <w:tab/>
        <w:t>3 Months (August 1, 2000 through October 31, 2000)</w:t>
      </w:r>
    </w:p>
    <w:p>
      <w:pPr>
        <w:pStyle w:val="Normal"/>
        <w:ind w:hanging="1440" w:start="2160" w:end="0"/>
        <w:rPr/>
      </w:pPr>
      <w:r>
        <w:rPr/>
        <w:t>Receipt Point:</w:t>
        <w:tab/>
        <w:tab/>
        <w:t>East of Thoreau area, subject to available capacity</w:t>
      </w:r>
    </w:p>
    <w:p>
      <w:pPr>
        <w:pStyle w:val="Normal"/>
        <w:ind w:hanging="2160" w:start="2880" w:end="0"/>
        <w:rPr/>
      </w:pPr>
      <w:r>
        <w:rPr/>
        <w:t>Delivery Point:</w:t>
        <w:tab/>
        <w:t>California Border (SoCal Needles, POI #10487, PG&amp;E Topock POI #56698, or Mojave Topock, POI #56696, subject to available capacity.  (Primary deliveries to SoCal Needles, POI # 10487 may not exceed 12,000 Dth/day.)</w:t>
      </w:r>
    </w:p>
    <w:p>
      <w:pPr>
        <w:pStyle w:val="Normal"/>
        <w:ind w:start="720" w:end="0"/>
        <w:rPr/>
      </w:pPr>
      <w:r>
        <w:rPr/>
        <w:t>Fuel:</w:t>
        <w:tab/>
        <w:tab/>
        <w:tab/>
        <w:t>Maximum tariff fuel shall apply</w:t>
      </w:r>
    </w:p>
    <w:p>
      <w:pPr>
        <w:pStyle w:val="Normal"/>
        <w:ind w:firstLine="720" w:end="0"/>
        <w:rPr/>
      </w:pPr>
      <w:r>
        <w:rPr/>
        <w:t>Award Criteria:</w:t>
        <w:tab/>
        <w:tab/>
      </w:r>
      <w:r>
        <w:rPr>
          <w:u w:val="single"/>
        </w:rPr>
        <w:t>Highest Rate</w:t>
      </w:r>
    </w:p>
    <w:p>
      <w:pPr>
        <w:pStyle w:val="Normal"/>
        <w:ind w:start="720" w:end="0"/>
        <w:rPr/>
      </w:pPr>
      <w:r>
        <w:rPr/>
      </w:r>
    </w:p>
    <w:p>
      <w:pPr>
        <w:pStyle w:val="Normal"/>
        <w:rPr/>
      </w:pPr>
      <w:r>
        <w:rPr/>
        <w:tab/>
      </w:r>
    </w:p>
    <w:p>
      <w:pPr>
        <w:pStyle w:val="Normal"/>
        <w:rPr/>
      </w:pPr>
      <w:r>
        <w:rPr/>
      </w:r>
    </w:p>
    <w:p>
      <w:pPr>
        <w:pStyle w:val="Normal"/>
        <w:rPr/>
      </w:pPr>
      <w:r>
        <w:rPr/>
        <w:tab/>
      </w:r>
      <w:r>
        <w:rPr>
          <w:b/>
          <w:u w:val="single"/>
        </w:rPr>
        <w:t>Bid Package</w:t>
      </w:r>
      <w:r>
        <w:rPr/>
        <w:t xml:space="preserve"> </w:t>
      </w:r>
      <w:r>
        <w:rPr>
          <w:b/>
        </w:rPr>
        <w:t># 16</w:t>
      </w:r>
    </w:p>
    <w:p>
      <w:pPr>
        <w:pStyle w:val="Normal"/>
        <w:rPr>
          <w:b/>
        </w:rPr>
      </w:pPr>
      <w:r>
        <w:rPr>
          <w:b/>
        </w:rPr>
      </w:r>
    </w:p>
    <w:p>
      <w:pPr>
        <w:pStyle w:val="Normal"/>
        <w:ind w:start="720" w:end="0"/>
        <w:rPr/>
      </w:pPr>
      <w:r>
        <w:rPr/>
        <w:t>Volume:</w:t>
        <w:tab/>
        <w:tab/>
        <w:tab/>
        <w:t xml:space="preserve">49,000 /Dth/day </w:t>
      </w:r>
    </w:p>
    <w:p>
      <w:pPr>
        <w:pStyle w:val="Normal"/>
        <w:ind w:start="720" w:end="0"/>
        <w:rPr/>
      </w:pPr>
      <w:r>
        <w:rPr/>
        <w:t>Term:</w:t>
        <w:tab/>
        <w:tab/>
        <w:tab/>
        <w:t>12 Months (November 1, 2000 through October 31, 2001)</w:t>
      </w:r>
    </w:p>
    <w:p>
      <w:pPr>
        <w:pStyle w:val="Normal"/>
        <w:ind w:hanging="1440" w:start="2160" w:end="0"/>
        <w:rPr/>
      </w:pPr>
      <w:r>
        <w:rPr/>
        <w:t>Receipt Point:</w:t>
        <w:tab/>
        <w:tab/>
        <w:t>East of Thoreau area, subject to available capacity</w:t>
      </w:r>
    </w:p>
    <w:p>
      <w:pPr>
        <w:pStyle w:val="Normal"/>
        <w:ind w:hanging="2160" w:start="2880" w:end="0"/>
        <w:rPr/>
      </w:pPr>
      <w:r>
        <w:rPr/>
        <w:t>Delivery Point:</w:t>
        <w:tab/>
        <w:t>California Border (SoCal Needles, POI #10487, PG&amp;E Topock POI #56698, or Mojave Topock, POI #56696, subject to available capacity.  (Primary deliveries to SoCal Needles, POI # 10487 may not exceed 35,000 Dth/day.)</w:t>
      </w:r>
    </w:p>
    <w:p>
      <w:pPr>
        <w:pStyle w:val="Normal"/>
        <w:ind w:start="720" w:end="0"/>
        <w:rPr/>
      </w:pPr>
      <w:r>
        <w:rPr/>
        <w:t>Fuel:</w:t>
        <w:tab/>
        <w:tab/>
        <w:tab/>
        <w:t>Maximum tariff fuel shall apply</w:t>
      </w:r>
    </w:p>
    <w:p>
      <w:pPr>
        <w:pStyle w:val="Normal"/>
        <w:ind w:start="720" w:end="0"/>
        <w:rPr/>
      </w:pPr>
      <w:r>
        <w:rPr/>
        <w:t>Award Criteria:</w:t>
        <w:tab/>
        <w:tab/>
      </w:r>
      <w:r>
        <w:rPr>
          <w:u w:val="single"/>
        </w:rPr>
        <w:t>Highest Rate</w:t>
      </w:r>
    </w:p>
    <w:p>
      <w:pPr>
        <w:pStyle w:val="Normal"/>
        <w:rPr/>
      </w:pPr>
      <w:r>
        <w:rPr/>
        <w:tab/>
      </w:r>
    </w:p>
    <w:p>
      <w:pPr>
        <w:pStyle w:val="Normal"/>
        <w:rPr/>
      </w:pPr>
      <w:r>
        <w:rPr/>
      </w:r>
    </w:p>
    <w:sectPr>
      <w:footerReference w:type="default" r:id="rId2"/>
      <w:type w:val="nextPage"/>
      <w:pgSz w:w="12240" w:h="15840"/>
      <w:pgMar w:left="720" w:right="720" w:gutter="0" w:header="0"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t>Ios7-00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720"/>
        </w:tabs>
        <w:ind w:start="72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2000-07-20T16:02:00Z</dcterms:created>
  <dc:creator>Mike Zoch</dc:creator>
  <dc:description/>
  <dc:language>en-CA</dc:language>
  <cp:lastModifiedBy>ET&amp;S</cp:lastModifiedBy>
  <cp:lastPrinted>2000-07-20T12:56:00Z</cp:lastPrinted>
  <dcterms:modified xsi:type="dcterms:W3CDTF">2000-07-20T16:02:00Z</dcterms:modified>
  <cp:revision>2</cp:revision>
  <dc:subject/>
  <dc:title>Notice of Interactive Open Season</dc:title>
</cp:coreProperties>
</file>