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Sent Via Email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  <w:t>INVOICE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DATE:</w:t>
        <w:tab/>
        <w:tab/>
        <w:t>February 2,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ab/>
        <w:t>Mr. John Arnold</w:t>
      </w:r>
    </w:p>
    <w:p>
      <w:pPr>
        <w:pStyle w:val="Normal"/>
        <w:rPr/>
      </w:pPr>
      <w:r>
        <w:rPr/>
        <w:tab/>
        <w:tab/>
        <w:t>Enron North America</w:t>
      </w:r>
    </w:p>
    <w:p>
      <w:pPr>
        <w:pStyle w:val="Normal"/>
        <w:rPr/>
      </w:pPr>
      <w:r>
        <w:rPr/>
        <w:tab/>
        <w:tab/>
        <w:t>1400 Smith Street</w:t>
      </w:r>
    </w:p>
    <w:p>
      <w:pPr>
        <w:pStyle w:val="Normal"/>
        <w:rPr/>
      </w:pPr>
      <w:r>
        <w:rPr/>
        <w:tab/>
        <w:tab/>
        <w:t>Houston, TX  77002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INVOICE #:</w:t>
        <w:tab/>
        <w:t>9938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AMOUNT:</w:t>
        <w:tab/>
        <w:t>$9,000.00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DUE:</w:t>
        <w:tab/>
        <w:tab/>
        <w:t>Upon Receipt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FOR:</w:t>
        <w:tab/>
        <w:tab/>
        <w:t>Advisory fees per Service Agreement for Natural Gas data and analysis.</w:t>
      </w:r>
    </w:p>
    <w:p>
      <w:pPr>
        <w:pStyle w:val="Normal"/>
        <w:rPr/>
      </w:pPr>
      <w:r>
        <w:rPr/>
        <w:tab/>
        <w:tab/>
        <w:t>Advisory fees for the period of Dec. 1, 2000 – February 28,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PAYABLE TO:</w:t>
        <w:tab/>
        <w:tab/>
        <w:t>Psytech Analytics Inc.</w:t>
      </w:r>
    </w:p>
    <w:p>
      <w:pPr>
        <w:pStyle w:val="Normal"/>
        <w:rPr/>
      </w:pPr>
      <w:r>
        <w:rPr/>
        <w:tab/>
        <w:tab/>
        <w:tab/>
        <w:tab/>
        <w:t>11604 Greenspring Avenue</w:t>
      </w:r>
    </w:p>
    <w:p>
      <w:pPr>
        <w:pStyle w:val="Normal"/>
        <w:rPr/>
      </w:pPr>
      <w:r>
        <w:rPr/>
        <w:tab/>
        <w:tab/>
        <w:tab/>
        <w:tab/>
        <w:t>Lutherville, MD  21093</w:t>
      </w:r>
    </w:p>
    <w:p>
      <w:pPr>
        <w:pStyle w:val="Heading5"/>
        <w:ind w:firstLine="720" w:start="2160" w:end="0"/>
        <w:rPr/>
      </w:pPr>
      <w:r>
        <w:rPr/>
        <w:t>Federal Tax #52-2097801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Payments can be made by electronic funds transfer or check.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Wire information:</w:t>
        <w:tab/>
        <w:t xml:space="preserve">First Union National Bank </w:t>
      </w:r>
    </w:p>
    <w:p>
      <w:pPr>
        <w:pStyle w:val="Normal"/>
        <w:rPr/>
      </w:pPr>
      <w:r>
        <w:rPr/>
        <w:tab/>
        <w:tab/>
        <w:tab/>
        <w:t>Baltimore, MD</w:t>
      </w:r>
    </w:p>
    <w:p>
      <w:pPr>
        <w:pStyle w:val="Normal"/>
        <w:rPr/>
      </w:pPr>
      <w:r>
        <w:rPr/>
        <w:tab/>
        <w:tab/>
        <w:tab/>
        <w:t>ABA #055003201</w:t>
      </w:r>
    </w:p>
    <w:p>
      <w:pPr>
        <w:pStyle w:val="Normal"/>
        <w:rPr/>
      </w:pPr>
      <w:r>
        <w:rPr/>
        <w:tab/>
        <w:tab/>
        <w:tab/>
        <w:t>For further credit to:</w:t>
      </w:r>
    </w:p>
    <w:p>
      <w:pPr>
        <w:pStyle w:val="Normal"/>
        <w:rPr/>
      </w:pPr>
      <w:r>
        <w:rPr/>
        <w:tab/>
        <w:tab/>
        <w:tab/>
        <w:t>Psytech Analytics Inc.</w:t>
      </w:r>
    </w:p>
    <w:p>
      <w:pPr>
        <w:pStyle w:val="Normal"/>
        <w:rPr/>
      </w:pPr>
      <w:r>
        <w:rPr/>
        <w:tab/>
        <w:tab/>
        <w:tab/>
        <w:t>#4370336361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2000-01-18T14:12:00Z</dcterms:created>
  <dc:creator>Preferred Customer</dc:creator>
  <dc:description/>
  <dc:language>en-CA</dc:language>
  <cp:lastModifiedBy>Mark Sagel</cp:lastModifiedBy>
  <cp:lastPrinted>2001-02-02T11:36:00Z</cp:lastPrinted>
  <dcterms:modified xsi:type="dcterms:W3CDTF">2001-02-02T14:08:00Z</dcterms:modified>
  <cp:revision>12</cp:revision>
  <dc:subject/>
  <dc:title>INVOICE</dc:title>
</cp:coreProperties>
</file>