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120" w:after="240"/>
        <w:jc w:val="center"/>
        <w:outlineLvl w:val="0"/>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320040</wp:posOffset>
                </wp:positionV>
                <wp:extent cx="3201035" cy="635"/>
                <wp:effectExtent l="635" t="6350" r="635" b="6350"/>
                <wp:wrapNone/>
                <wp:docPr id="1" name=""/>
                <a:graphic xmlns:a="http://schemas.openxmlformats.org/drawingml/2006/main">
                  <a:graphicData uri="http://schemas.microsoft.com/office/word/2010/wordprocessingShape">
                    <wps:wsp>
                      <wps:cNvSpPr/>
                      <wps:spPr>
                        <a:xfrm>
                          <a:off x="0" y="0"/>
                          <a:ext cx="32011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25.2pt" to="352.8pt,25.2pt" stroked="t" o:allowincell="f" style="position:absolute">
                <v:stroke color="black" weight="12600" joinstyle="miter" endcap="flat"/>
                <v:fill o:detectmouseclick="t" on="false"/>
                <w10:wrap type="none"/>
              </v:line>
            </w:pict>
          </mc:Fallback>
        </mc:AlternateContent>
      </w:r>
      <w:r>
        <w:rPr/>
        <w:t>Memorandum</w:t>
      </w:r>
    </w:p>
    <w:p>
      <w:pPr>
        <w:pStyle w:val="BodyText"/>
        <w:spacing w:before="0" w:after="480"/>
        <w:jc w:val="center"/>
        <w:rPr/>
      </w:pPr>
      <w:bookmarkStart w:id="0" w:name="BodyDate"/>
      <w:bookmarkEnd w:id="0"/>
      <w:r>
        <w:rPr/>
        <w:t>August 7, 2000</w:t>
      </w:r>
    </w:p>
    <w:p>
      <w:pPr>
        <w:pStyle w:val="Normal"/>
        <w:tabs>
          <w:tab w:val="left" w:pos="-1440" w:leader="none"/>
          <w:tab w:val="left" w:pos="720" w:leader="none"/>
        </w:tabs>
        <w:ind w:hanging="720" w:start="720" w:end="0"/>
        <w:jc w:val="both"/>
        <w:rPr/>
      </w:pPr>
      <w:r>
        <w:rPr/>
        <w:t>RE:</w:t>
        <w:tab/>
      </w:r>
      <w:bookmarkStart w:id="1" w:name="MemoRegarding"/>
      <w:bookmarkEnd w:id="1"/>
      <w:r>
        <w:rPr/>
        <w:t xml:space="preserve">Recommended Approach for Immediate Action Responding to Crises in </w:t>
      </w:r>
    </w:p>
    <w:p>
      <w:pPr>
        <w:pStyle w:val="Normal"/>
        <w:tabs>
          <w:tab w:val="left" w:pos="-1440" w:leader="none"/>
          <w:tab w:val="left" w:pos="720" w:leader="none"/>
        </w:tabs>
        <w:ind w:hanging="720" w:start="720" w:end="0"/>
        <w:jc w:val="both"/>
        <w:rPr/>
      </w:pPr>
      <w:r>
        <w:rPr/>
        <w:tab/>
        <w:t>U.S. Electric Power Markets</w:t>
      </w:r>
    </w:p>
    <w:p>
      <w:pPr>
        <w:pStyle w:val="Normal"/>
        <w:widowControl/>
        <w:jc w:val="both"/>
        <w:rPr/>
      </w:pPr>
      <w:r>
        <w:rPr/>
      </w:r>
    </w:p>
    <w:p>
      <w:pPr>
        <w:pStyle w:val="Normal"/>
        <w:widowControl/>
        <w:numPr>
          <w:ilvl w:val="0"/>
          <w:numId w:val="0"/>
        </w:numPr>
        <w:spacing w:before="0" w:after="120"/>
        <w:jc w:val="both"/>
        <w:outlineLvl w:val="0"/>
        <w:rPr>
          <w:b/>
        </w:rPr>
      </w:pPr>
      <w:r>
        <w:rPr>
          <w:b/>
        </w:rPr>
        <w:t>I.</w:t>
        <w:tab/>
        <w:t xml:space="preserve">Introduction and Summary </w:t>
      </w:r>
    </w:p>
    <w:p>
      <w:pPr>
        <w:pStyle w:val="Normal"/>
        <w:widowControl/>
        <w:spacing w:before="0" w:after="120"/>
        <w:ind w:firstLine="720" w:end="0"/>
        <w:jc w:val="both"/>
        <w:rPr/>
      </w:pPr>
      <w:r>
        <w:rPr/>
        <w:t>This memorandum examines possible approaches to addressing current structural infirmities that are preventing the proper functioning of competitive electricity markets.  It focuses on procedural and substantive issues surrounding obtaining relief from these under section 202(c) of the Federal Power Act, as well as other sections of the Federal Power Act.</w:t>
      </w:r>
    </w:p>
    <w:p>
      <w:pPr>
        <w:pStyle w:val="Normal"/>
        <w:widowControl/>
        <w:spacing w:before="0" w:after="120"/>
        <w:ind w:firstLine="720" w:end="0"/>
        <w:jc w:val="both"/>
        <w:rPr/>
      </w:pPr>
      <w:r>
        <w:rPr/>
        <w:t xml:space="preserve">DOE administers section 202(c) of the Federal Power Act, and has promulgated regulations to implement section 202(c).  Because DOE’s regulations under section 202(c) contemplate “meeting a specific inadequate power supply situation,” 10 C.F.R. §205.371 (1999), perhaps the most effective and efficient approach to obtaining the broadest possible relief under section 202(c) would be to: </w:t>
      </w:r>
    </w:p>
    <w:p>
      <w:pPr>
        <w:pStyle w:val="Normal"/>
        <w:widowControl/>
        <w:spacing w:before="0" w:after="120"/>
        <w:ind w:firstLine="720" w:end="0"/>
        <w:jc w:val="both"/>
        <w:rPr/>
      </w:pPr>
      <w:r>
        <w:rPr/>
        <w:t>(1)</w:t>
        <w:tab/>
        <w:t xml:space="preserve">Have the DOE issue an order finding that: </w:t>
      </w:r>
    </w:p>
    <w:p>
      <w:pPr>
        <w:pStyle w:val="Normal"/>
        <w:widowControl/>
        <w:tabs>
          <w:tab w:val="clear" w:pos="720"/>
          <w:tab w:val="left" w:pos="-1440" w:leader="none"/>
        </w:tabs>
        <w:spacing w:before="0" w:after="120"/>
        <w:ind w:hanging="720" w:start="2160" w:end="0"/>
        <w:jc w:val="both"/>
        <w:rPr/>
      </w:pPr>
      <w:r>
        <w:rPr/>
        <w:t>(a)</w:t>
        <w:tab/>
        <w:t xml:space="preserve">there is a national emergency due to increased demand for electric power and a failure to build adequate generation and transmission facilities, and </w:t>
      </w:r>
    </w:p>
    <w:p>
      <w:pPr>
        <w:pStyle w:val="Normal"/>
        <w:widowControl/>
        <w:tabs>
          <w:tab w:val="clear" w:pos="720"/>
          <w:tab w:val="left" w:pos="-1440" w:leader="none"/>
        </w:tabs>
        <w:spacing w:before="0" w:after="120"/>
        <w:ind w:hanging="720" w:start="2160" w:end="0"/>
        <w:jc w:val="both"/>
        <w:rPr/>
      </w:pPr>
      <w:r>
        <w:rPr/>
        <w:t>(b)</w:t>
        <w:tab/>
        <w:t xml:space="preserve">while many parts of the country, including California and New England, currently are experiencing power shortages, all parts of the country are affected by the situation described in (a); and </w:t>
      </w:r>
    </w:p>
    <w:p>
      <w:pPr>
        <w:pStyle w:val="Normal"/>
        <w:widowControl/>
        <w:spacing w:before="0" w:after="120"/>
        <w:ind w:firstLine="720" w:end="0"/>
        <w:jc w:val="both"/>
        <w:rPr/>
      </w:pPr>
      <w:r>
        <w:rPr/>
        <w:t>(2)</w:t>
        <w:tab/>
        <w:t>Have DOE delegate appropriate action with respect to the emergency to the FERC for the purpose of issuing an emergency interim rule of general applicability.</w:t>
      </w:r>
      <w:r>
        <w:rPr>
          <w:rStyle w:val="FootnoteCharacters"/>
          <w:rStyle w:val="FootnoteReference"/>
          <w:vertAlign w:val="superscript"/>
        </w:rPr>
        <w:footnoteReference w:id="2"/>
      </w:r>
      <w:r>
        <w:rPr/>
        <w:t xml:space="preserve">  Section 404 of the DOE Organization Act gives the FERC the right to have referred to it matters which affect its jurisdiction.</w:t>
      </w:r>
      <w:r>
        <w:rPr>
          <w:rStyle w:val="FootnoteCharacters"/>
          <w:rStyle w:val="FootnoteReference"/>
          <w:vertAlign w:val="superscript"/>
        </w:rPr>
        <w:footnoteReference w:id="3"/>
      </w:r>
      <w:r>
        <w:rPr/>
        <w:t xml:space="preserve">  Because any temporary connections of facilities, or generation, delivery interchange, or transmission of electric energy also would implicate the Commission’s ratemaking authority, the Commission may properly require referral of any DOE action under section 404.</w:t>
      </w:r>
      <w:r>
        <w:rPr>
          <w:rStyle w:val="FootnoteCharacters"/>
          <w:rStyle w:val="FootnoteReference"/>
          <w:vertAlign w:val="superscript"/>
        </w:rPr>
        <w:footnoteReference w:id="4"/>
      </w:r>
      <w:r>
        <w:rPr/>
        <w:t xml:space="preserve"> </w:t>
      </w:r>
    </w:p>
    <w:p>
      <w:pPr>
        <w:pStyle w:val="Heading1"/>
        <w:spacing w:before="0" w:after="120"/>
        <w:ind w:hanging="0" w:start="0"/>
        <w:jc w:val="both"/>
        <w:rPr/>
      </w:pPr>
      <w:r>
        <w:rPr/>
        <w:t>Substantive Remedies to Problems in the Nation’s Electric Power Markets</w:t>
      </w:r>
    </w:p>
    <w:p>
      <w:pPr>
        <w:pStyle w:val="Normal"/>
        <w:spacing w:before="0" w:after="120"/>
        <w:ind w:firstLine="720" w:end="0"/>
        <w:jc w:val="both"/>
        <w:rPr/>
      </w:pPr>
      <w:r>
        <w:rPr/>
        <w:t>Many of the problems responsible for shortages and inefficiencies that have been experienced in the nation’s electricity supply system can be corrected by changing the applicable rules.  Since it appears that comprehensive legislation will not be enacted this in the near future,  these matters must be addressed instead through agency action, as discussed above, by the Department of Energy and FERC.  The following are areas in which agency action could help address the shortages that have been encountered:</w:t>
      </w:r>
    </w:p>
    <w:p>
      <w:pPr>
        <w:pStyle w:val="Normal"/>
        <w:numPr>
          <w:ilvl w:val="0"/>
          <w:numId w:val="2"/>
        </w:numPr>
        <w:spacing w:before="0" w:after="120"/>
        <w:ind w:hanging="720" w:start="1440" w:end="0"/>
        <w:jc w:val="both"/>
        <w:rPr/>
      </w:pPr>
      <w:r>
        <w:rPr/>
        <w:t>mandate that transmission-owning utilities unbundle their generation function from their transmission function by requiring that all one federal agency, FERC, regulate all transmission transactions and insure that they are done performed on a non-discriminatory basis.  Under FERC’s current approach, utility transmission that is “bundled” into retail sales is not subject to federal regulation.  Utilities can manipulate the operation of their system so that these bundled transactions, in which the utility profits by eliminating competition for its “sales” function, are given preferential treatment.  This obstructs the proper functioning of the interstate bulk power markets.  To correct this problem, all transmission-owning utilities should be required, within 30 days, to submit a tariff that applies to all transmission (including bundled retail transmission).</w:t>
      </w:r>
    </w:p>
    <w:p>
      <w:pPr>
        <w:pStyle w:val="Normal"/>
        <w:numPr>
          <w:ilvl w:val="0"/>
          <w:numId w:val="2"/>
        </w:numPr>
        <w:spacing w:before="0" w:after="120"/>
        <w:ind w:hanging="720" w:start="1440" w:end="0"/>
        <w:jc w:val="both"/>
        <w:rPr/>
      </w:pPr>
      <w:r>
        <w:rPr/>
        <w:t>mandate that transmission-owning utilities transfer operational control of their transmission systems to a “Regional Transmission Organization” (RTO), which would operate the combined grids of several utilities  on a more efficient regional basis and would eliminate manipulation of the transmission system by vertically-integrated utilities to unfairly advantage their own generation and sales functions, and thereby to interfere with the proper workings of a competitive market.   Although FERC, in Order No. 2000, has required utilities to report on their progress towards forming or joining RTOs, it has not mandated that they do so.  Requiring utilities to join RTOs with no further delay would help eliminate the market manipulation that has been one of the causes of the power supply shortages and price increases.</w:t>
      </w:r>
    </w:p>
    <w:p>
      <w:pPr>
        <w:pStyle w:val="Normal"/>
        <w:numPr>
          <w:ilvl w:val="0"/>
          <w:numId w:val="2"/>
        </w:numPr>
        <w:spacing w:before="0" w:after="120"/>
        <w:ind w:hanging="720" w:start="1440" w:end="0"/>
        <w:jc w:val="both"/>
        <w:rPr/>
      </w:pPr>
      <w:r>
        <w:rPr/>
        <w:t>require utilities immediately to adopt fair, non-“goldplated” interconnection standards to enable new power generation plants to hook up to the system and provide additional needed supply.   Many utilities engaged in the practice of imposing unfair and inappropriate requirements on generators that seek to tie in to the power system, and which can add tens of millions of dollars to the costs of much-needed new power projects.  These practices help utilities to maintain their monopoly power over generation and provide a vehicle to force competitors to pay for upgrades on the utilities’ entire systems that should be shared by all users.  Utilities should be required, within 30 days, to submit standardized interconnection agreements that fairly allocate the costs of interconnection and cannot be used as an obstacle to competition.</w:t>
      </w:r>
    </w:p>
    <w:p>
      <w:pPr>
        <w:pStyle w:val="Normal"/>
        <w:numPr>
          <w:ilvl w:val="0"/>
          <w:numId w:val="2"/>
        </w:numPr>
        <w:spacing w:before="0" w:after="120"/>
        <w:ind w:hanging="720" w:start="1440" w:end="0"/>
        <w:jc w:val="both"/>
        <w:rPr/>
      </w:pPr>
      <w:r>
        <w:rPr/>
        <w:t>require transmission-owning utilities to cease to characterize one type of  transmission service as “network integration” service, which provides significant benefits but is not tradable in secondary markets, while less-valuable services, such as “point-to-point” transmission service, is freely tradable.</w:t>
      </w:r>
    </w:p>
    <w:p>
      <w:pPr>
        <w:pStyle w:val="Normal"/>
        <w:widowControl/>
        <w:numPr>
          <w:ilvl w:val="0"/>
          <w:numId w:val="0"/>
        </w:numPr>
        <w:spacing w:before="0" w:after="120"/>
        <w:jc w:val="both"/>
        <w:outlineLvl w:val="0"/>
        <w:rPr>
          <w:b/>
        </w:rPr>
      </w:pPr>
      <w:r>
        <w:rPr>
          <w:b/>
        </w:rPr>
        <w:t>III.</w:t>
        <w:tab/>
        <w:t>Section 202(c) of the Federal Power Act</w:t>
      </w:r>
    </w:p>
    <w:p>
      <w:pPr>
        <w:pStyle w:val="Normal"/>
        <w:widowControl/>
        <w:spacing w:before="0" w:after="120"/>
        <w:ind w:firstLine="720" w:end="0"/>
        <w:jc w:val="both"/>
        <w:rPr/>
      </w:pPr>
      <w:r>
        <w:rPr/>
        <w:t>Section 202(c) of the Federal Power Act provides, in relevant part:</w:t>
      </w:r>
    </w:p>
    <w:p>
      <w:pPr>
        <w:pStyle w:val="Normal"/>
        <w:widowControl/>
        <w:spacing w:before="0" w:after="120"/>
        <w:ind w:start="720" w:end="720"/>
        <w:jc w:val="both"/>
        <w:rPr/>
      </w:pPr>
      <w:r>
        <w:rPr/>
        <w:t>. . . whenever the Commission determines that an emergency exists by reason of a sudden increase in the demand for electric energy, or a shortage of electric energy or of facilities for the generation or transmission of electric energy, or fuel or water for generating facilities, or other causes, the Commission shall have authority, either upon its own motion or upon complaint, with or without notice, hearing, or report, to require by order such temporary connections of facilities and such generation, delivery, interchange, or transmission of electric energy as in its judgment will best meet the emergency and serve the public interest.</w:t>
      </w:r>
    </w:p>
    <w:p>
      <w:pPr>
        <w:pStyle w:val="Normal"/>
        <w:widowControl/>
        <w:numPr>
          <w:ilvl w:val="0"/>
          <w:numId w:val="0"/>
        </w:numPr>
        <w:spacing w:before="0" w:after="120"/>
        <w:jc w:val="both"/>
        <w:outlineLvl w:val="0"/>
        <w:rPr/>
      </w:pPr>
      <w:r>
        <w:rPr/>
        <w:t>16 U.S. C. 824a(c) (1996).</w:t>
      </w:r>
    </w:p>
    <w:p>
      <w:pPr>
        <w:pStyle w:val="Normal"/>
        <w:widowControl/>
        <w:spacing w:before="0" w:after="120"/>
        <w:ind w:firstLine="720" w:end="0"/>
        <w:jc w:val="both"/>
        <w:rPr/>
      </w:pPr>
      <w:r>
        <w:rPr/>
        <w:t>In 1974, while promulgating regulations under section 202(c) of the Federal Power Act, the Federal Power Commission ("FPC") described section 202(c) as “a grant of Federal authority --</w:t>
      </w:r>
      <w:r>
        <w:rPr>
          <w:u w:val="single"/>
        </w:rPr>
        <w:t>preemptive</w:t>
      </w:r>
      <w:r>
        <w:rPr/>
        <w:t xml:space="preserve"> </w:t>
      </w:r>
      <w:r>
        <w:rPr>
          <w:u w:val="single"/>
        </w:rPr>
        <w:t>of</w:t>
      </w:r>
      <w:r>
        <w:rPr/>
        <w:t xml:space="preserve"> </w:t>
      </w:r>
      <w:r>
        <w:rPr>
          <w:u w:val="single"/>
        </w:rPr>
        <w:t>established</w:t>
      </w:r>
      <w:r>
        <w:rPr/>
        <w:t xml:space="preserve"> </w:t>
      </w:r>
      <w:r>
        <w:rPr>
          <w:u w:val="single"/>
        </w:rPr>
        <w:t>divisions</w:t>
      </w:r>
      <w:r>
        <w:rPr/>
        <w:t xml:space="preserve"> </w:t>
      </w:r>
      <w:r>
        <w:rPr>
          <w:u w:val="single"/>
        </w:rPr>
        <w:t>of</w:t>
      </w:r>
      <w:r>
        <w:rPr/>
        <w:t xml:space="preserve"> </w:t>
      </w:r>
      <w:r>
        <w:rPr>
          <w:u w:val="single"/>
        </w:rPr>
        <w:t>Federal</w:t>
      </w:r>
      <w:r>
        <w:rPr/>
        <w:t xml:space="preserve"> </w:t>
      </w:r>
      <w:r>
        <w:rPr>
          <w:u w:val="single"/>
        </w:rPr>
        <w:t>and</w:t>
      </w:r>
      <w:r>
        <w:rPr/>
        <w:t xml:space="preserve"> </w:t>
      </w:r>
      <w:r>
        <w:rPr>
          <w:u w:val="single"/>
        </w:rPr>
        <w:t>state</w:t>
      </w:r>
      <w:r>
        <w:rPr/>
        <w:t xml:space="preserve"> </w:t>
      </w:r>
      <w:r>
        <w:rPr>
          <w:u w:val="single"/>
        </w:rPr>
        <w:t>regulatory</w:t>
      </w:r>
      <w:r>
        <w:rPr/>
        <w:t xml:space="preserve"> </w:t>
      </w:r>
      <w:r>
        <w:rPr>
          <w:u w:val="single"/>
        </w:rPr>
        <w:t>authority</w:t>
      </w:r>
      <w:r>
        <w:rPr/>
        <w:t xml:space="preserve">, set forth in other sections of the Federal Power Act -- to meet emergency conditions.”  </w:t>
      </w:r>
      <w:r>
        <w:rPr>
          <w:i/>
        </w:rPr>
        <w:t>Order Amending Part 32 of the Regulations Under the Federal Power Act; Applications for Commission Emergency Authorization Pursuant to Section 202(c) of the Federal Power Act</w:t>
      </w:r>
      <w:r>
        <w:rPr/>
        <w:t>, Order No. 520, 52 FPC 1554, 1556 (1974) (emphasis added).</w:t>
      </w:r>
      <w:r>
        <w:rPr>
          <w:rStyle w:val="FootnoteCharacters"/>
          <w:rStyle w:val="FootnoteReference"/>
          <w:vertAlign w:val="superscript"/>
        </w:rPr>
        <w:footnoteReference w:id="5"/>
      </w:r>
      <w:r>
        <w:rPr/>
        <w:t xml:space="preserve"> </w:t>
      </w:r>
    </w:p>
    <w:p>
      <w:pPr>
        <w:pStyle w:val="Normal"/>
        <w:widowControl/>
        <w:spacing w:before="0" w:after="120"/>
        <w:ind w:firstLine="720" w:end="0"/>
        <w:jc w:val="both"/>
        <w:rPr/>
      </w:pPr>
      <w:r>
        <w:rPr/>
        <w:t xml:space="preserve">Similarly, a federal court has concluded that section 202(c)  “. . . is aimed at situations in which demand for electricity exceeds supply and not at those in which supply is adequate but a means of fueling its production [foreign oil] is in disfavor.”  </w:t>
      </w:r>
      <w:r>
        <w:rPr>
          <w:i/>
        </w:rPr>
        <w:t>Richmond Power &amp; Light of the City of Richmond, Indiana v. FERC</w:t>
      </w:r>
      <w:r>
        <w:rPr/>
        <w:t>, 574 F.2d 610 (D.C. Cir. 1978).</w:t>
      </w:r>
      <w:r>
        <w:rPr>
          <w:rStyle w:val="FootnoteCharacters"/>
          <w:rStyle w:val="FootnoteReference"/>
          <w:vertAlign w:val="superscript"/>
        </w:rPr>
        <w:footnoteReference w:id="6"/>
      </w:r>
    </w:p>
    <w:p>
      <w:pPr>
        <w:pStyle w:val="Normal"/>
        <w:widowControl/>
        <w:numPr>
          <w:ilvl w:val="0"/>
          <w:numId w:val="0"/>
        </w:numPr>
        <w:spacing w:before="0" w:after="120"/>
        <w:jc w:val="both"/>
        <w:outlineLvl w:val="0"/>
        <w:rPr>
          <w:b/>
        </w:rPr>
      </w:pPr>
      <w:r>
        <w:rPr>
          <w:b/>
        </w:rPr>
        <w:t>IV.</w:t>
        <w:tab/>
        <w:t>DOE Organization Act</w:t>
      </w:r>
    </w:p>
    <w:p>
      <w:pPr>
        <w:pStyle w:val="Normal"/>
        <w:widowControl/>
        <w:spacing w:before="0" w:after="120"/>
        <w:ind w:firstLine="720" w:end="0"/>
        <w:jc w:val="both"/>
        <w:rPr/>
      </w:pPr>
      <w:r>
        <w:rPr/>
        <w:t>The DOE administers section 202(c) of the Federal Power Act.  Section 402 of the DOE Organization Act transferred from the Federal Power Commission to the FERC certain functions, as follows:</w:t>
      </w:r>
    </w:p>
    <w:p>
      <w:pPr>
        <w:pStyle w:val="Normal"/>
        <w:widowControl/>
        <w:spacing w:before="0" w:after="120"/>
        <w:ind w:start="720" w:end="720"/>
        <w:jc w:val="both"/>
        <w:rPr/>
      </w:pPr>
      <w:r>
        <w:rPr/>
        <w:t>The establishment, review, and enforcement of rates and charges for the transmission or sale of electric energy including determinations on construction work in progress, under Part II of the Federal Power Act, and the interconnection, under section 202(b) of such Act, of facilities for the generation, transmission, and sale of electric energy (</w:t>
      </w:r>
      <w:r>
        <w:rPr>
          <w:u w:val="single"/>
        </w:rPr>
        <w:t>other</w:t>
      </w:r>
      <w:r>
        <w:rPr/>
        <w:t xml:space="preserve"> </w:t>
      </w:r>
      <w:r>
        <w:rPr>
          <w:u w:val="single"/>
        </w:rPr>
        <w:t>than</w:t>
      </w:r>
      <w:r>
        <w:rPr/>
        <w:t xml:space="preserve"> </w:t>
      </w:r>
      <w:r>
        <w:rPr>
          <w:u w:val="single"/>
        </w:rPr>
        <w:t>emergency</w:t>
      </w:r>
      <w:r>
        <w:rPr/>
        <w:t xml:space="preserve"> </w:t>
      </w:r>
      <w:r>
        <w:rPr>
          <w:u w:val="single"/>
        </w:rPr>
        <w:t>interconnection</w:t>
      </w:r>
      <w:r>
        <w:rPr/>
        <w:t>).</w:t>
      </w:r>
    </w:p>
    <w:p>
      <w:pPr>
        <w:pStyle w:val="Normal"/>
        <w:widowControl/>
        <w:spacing w:before="0" w:after="120"/>
        <w:jc w:val="both"/>
        <w:rPr/>
      </w:pPr>
      <w:r>
        <w:rPr/>
        <w:t>42 U.S.C. 7172 (1997) (emphasis added).  In 1979, the FERC interpreted this provision of the DOE Organization Act, as follows:</w:t>
      </w:r>
    </w:p>
    <w:p>
      <w:pPr>
        <w:pStyle w:val="Normal"/>
        <w:widowControl/>
        <w:spacing w:before="0" w:after="120"/>
        <w:ind w:start="720" w:end="720"/>
        <w:jc w:val="both"/>
        <w:rPr/>
      </w:pPr>
      <w:r>
        <w:rPr/>
        <w:t>While the language of the statute refers only to the Commission’s lack of authority with respect to emergency interconnection, “we feel that the stature was intended to vest in the Secretary emergency management authority not only under '202(c) of the Federal Power Act but also under the Natural Gas Act and the Emergency Petroleum Allocation Act of 1973.”  Thus, the Secretary has authority with respect to the ordering of emergency temporary interconnection of facilities and also “such generation, delivery interchange or transmission of electric energy as in its judgment will best meet the emergency and serve the public interest,” pursuant to section 202(c)</w:t>
      </w:r>
      <w:r>
        <w:rPr>
          <w:vertAlign w:val="superscript"/>
        </w:rPr>
        <w:t>.</w:t>
      </w:r>
      <w:r>
        <w:rPr>
          <w:rStyle w:val="FootnoteCharacters"/>
          <w:rStyle w:val="FootnoteReference"/>
          <w:vertAlign w:val="superscript"/>
        </w:rPr>
        <w:footnoteReference w:id="7"/>
      </w:r>
      <w:r>
        <w:rPr/>
        <w:t xml:space="preserve">  </w:t>
      </w:r>
    </w:p>
    <w:p>
      <w:pPr>
        <w:pStyle w:val="Normal"/>
        <w:widowControl/>
        <w:spacing w:before="0" w:after="120"/>
        <w:ind w:firstLine="720" w:end="0"/>
        <w:jc w:val="both"/>
        <w:rPr/>
      </w:pPr>
      <w:r>
        <w:rPr/>
        <w:t>In support of its jurisdictional finding, the Commission cited DOE Delegation Order No. 0204-4, effective October 1, 1977, which delegates to the Administrator of the Economic Regulatory Administration (ERA), the authority to order all emergency relief contemplated in Section 202(c).</w:t>
      </w:r>
      <w:r>
        <w:rPr>
          <w:rStyle w:val="FootnoteCharacters"/>
          <w:rStyle w:val="FootnoteReference"/>
          <w:vertAlign w:val="superscript"/>
        </w:rPr>
        <w:footnoteReference w:id="8"/>
      </w:r>
      <w:r>
        <w:rPr/>
        <w:t xml:space="preserve"> </w:t>
      </w:r>
    </w:p>
    <w:p>
      <w:pPr>
        <w:pStyle w:val="Normal"/>
        <w:widowControl/>
        <w:spacing w:before="0" w:after="120"/>
        <w:ind w:firstLine="720" w:end="0"/>
        <w:jc w:val="both"/>
        <w:rPr/>
      </w:pPr>
      <w:r>
        <w:rPr/>
        <w:t>The Commission concluded, however that “ . . . when and if the ERA exercises its authority under section 202(c) to order emergency interconnection, sales and wheeling, this Commission would set the rates and charges for such sales and serve in accordance with this section of the Act. The DOE Act specifically gave the Commission authority to establish all ‘rates and charges. . . under Part II of the Federal Power Act.’  We therefore do not read the DOE Act . . . as limiting in any way the Commission’s general ratemaking authority under Part II, including the authority to set rates under Section 202(c).”</w:t>
      </w:r>
      <w:r>
        <w:rPr>
          <w:rStyle w:val="FootnoteCharacters"/>
          <w:rStyle w:val="FootnoteReference"/>
          <w:vertAlign w:val="superscript"/>
        </w:rPr>
        <w:footnoteReference w:id="9"/>
      </w:r>
    </w:p>
    <w:p>
      <w:pPr>
        <w:pStyle w:val="Normal"/>
        <w:widowControl/>
        <w:numPr>
          <w:ilvl w:val="0"/>
          <w:numId w:val="0"/>
        </w:numPr>
        <w:spacing w:before="0" w:after="120"/>
        <w:jc w:val="both"/>
        <w:outlineLvl w:val="0"/>
        <w:rPr>
          <w:b/>
        </w:rPr>
      </w:pPr>
      <w:r>
        <w:rPr>
          <w:b/>
        </w:rPr>
        <w:t>V.</w:t>
        <w:tab/>
        <w:t>DOE’s Regulations under Section 202(c) of the Federal Power Act</w:t>
      </w:r>
    </w:p>
    <w:p>
      <w:pPr>
        <w:pStyle w:val="Normal"/>
        <w:widowControl/>
        <w:spacing w:before="0" w:after="120"/>
        <w:ind w:firstLine="720" w:end="0"/>
        <w:jc w:val="both"/>
        <w:rPr/>
      </w:pPr>
      <w:r>
        <w:rPr/>
        <w:t>DOE’s regulations governing “Emergency Interconnection of Electric Facilities and the Transfer of Electricity to Alleviate an Emergency Shortage of Electric Power,” provide that:  “[s]ections 202(c) and 202(d) of the Federal Power Act are applicable to any “entity” which owns or operates electric power generation, transmission or distribution facilities.”  The regulations, in turn, define “entity” as a “private or public corporation (utility), a governmental agency, a municipality, a cooperative or a lawful association of the foregoing.” 10 C.F.R. §205.370 (1999).</w:t>
      </w:r>
    </w:p>
    <w:p>
      <w:pPr>
        <w:pStyle w:val="Normal"/>
        <w:keepNext w:val="true"/>
        <w:widowControl/>
        <w:spacing w:before="0" w:after="120"/>
        <w:ind w:firstLine="720" w:end="0"/>
        <w:jc w:val="both"/>
        <w:rPr/>
      </w:pPr>
      <w:r>
        <w:rPr/>
        <w:t>DOE has authority to issue rules, regulations and statements of policy with respect to matters within its jurisdiction.  However, section 202(c) of the Federal Power Act provides for remedial action “by order.”  In this vein, DOE’s regulations provide that: “[u]nder this section, the DOE has the authority to order the temporary connection of facilities or the generation or delivery of electricity, which it deems necessary to alleviate an emergency.  Such orders shall be effective for the time specified and will be subject to the terms and condition as the DOE specifies.  The DOE retains the right to cancel, modify or otherwise change any order, with or without notice, hearing, or report.  Additionally, DOE orders under this authority may be made effective without prior notice.”  10 C.F.R. §205.370 (1999).</w:t>
      </w:r>
    </w:p>
    <w:p>
      <w:pPr>
        <w:pStyle w:val="Normal"/>
        <w:widowControl/>
        <w:spacing w:before="0" w:after="120"/>
        <w:ind w:firstLine="720" w:end="0"/>
        <w:jc w:val="both"/>
        <w:rPr/>
      </w:pPr>
      <w:r>
        <w:rPr/>
        <w:t>DOE’s regulations provide that applications for emergency  action “will be accepted from any ‘entity,’ State Public Utility Commission, State Energy Agency, or State Governor.  Action also may be initiated by the DOE on its own motion.”  10 C.F.R. §205.370 (1999).</w:t>
      </w:r>
      <w:r>
        <w:rPr>
          <w:rStyle w:val="FootnoteCharacters"/>
          <w:rStyle w:val="FootnoteReference"/>
          <w:vertAlign w:val="superscript"/>
        </w:rPr>
        <w:footnoteReference w:id="10"/>
      </w:r>
      <w:r>
        <w:rPr/>
        <w:t xml:space="preserve">  </w:t>
      </w:r>
    </w:p>
    <w:p>
      <w:pPr>
        <w:pStyle w:val="Normal"/>
        <w:widowControl/>
        <w:spacing w:before="0" w:after="120"/>
        <w:ind w:firstLine="720" w:end="0"/>
        <w:jc w:val="both"/>
        <w:rPr/>
      </w:pPr>
      <w:r>
        <w:rPr/>
        <w:t>DOE’s regulations under section 202(c) define “emergency” as “an unexpected inadequate supply of electric energy which may result from the unexpected outage or breakdown of facilities for the generation, transmission or distribution of electric power.”  10 C.F.R. §205.371 (1999).  According to the regulations, “[a]n ‘emergency’ also can result from a sudden increase in customer demand.” and can include “extended periods of insufficient power supply as a result of inadequate planning or the failure to construct necessary facilities.”  10 C.F.R. §205.371.</w:t>
      </w:r>
    </w:p>
    <w:p>
      <w:pPr>
        <w:pStyle w:val="Normal"/>
        <w:widowControl/>
        <w:spacing w:before="0" w:after="120"/>
        <w:ind w:firstLine="720" w:end="0"/>
        <w:jc w:val="both"/>
        <w:rPr/>
      </w:pPr>
      <w:r>
        <w:rPr/>
        <w:t>DOE’s regulations do make clear, however, that “[a]ctions under this authority are envisioned as meeting a specific inadequate power supply situation.”  10 C.F.R. §205.371 (1999). Thus, DOE would have to be able to justify issuing an order that went beyond meeting a specific inadequate power supply situation.  That is, DOE would have to justify issuing an order that would apply to utilities in California -- where clearly there is an inadequate power supply situation -- and to utilities in Virginia -- where there is not an inadequate power supply situation.</w:t>
      </w:r>
    </w:p>
    <w:p>
      <w:pPr>
        <w:pStyle w:val="Normal"/>
        <w:keepNext w:val="true"/>
        <w:keepLines/>
        <w:widowControl/>
        <w:numPr>
          <w:ilvl w:val="0"/>
          <w:numId w:val="0"/>
        </w:numPr>
        <w:tabs>
          <w:tab w:val="left" w:pos="720" w:leader="none"/>
          <w:tab w:val="left" w:pos="810" w:leader="none"/>
        </w:tabs>
        <w:spacing w:before="0" w:after="120"/>
        <w:ind w:hanging="720" w:start="720" w:end="0"/>
        <w:jc w:val="both"/>
        <w:outlineLvl w:val="0"/>
        <w:rPr>
          <w:b/>
        </w:rPr>
      </w:pPr>
      <w:r>
        <w:rPr>
          <w:b/>
        </w:rPr>
        <w:t>VI.</w:t>
        <w:tab/>
        <w:t>"Show Cause" Order Followed by Emergency Interim Rule Under Sections 205, 206 and 307 of the Federal Power Act</w:t>
      </w:r>
    </w:p>
    <w:p>
      <w:pPr>
        <w:pStyle w:val="Normal"/>
        <w:keepNext w:val="true"/>
        <w:keepLines/>
        <w:widowControl/>
        <w:spacing w:before="0" w:after="120"/>
        <w:ind w:firstLine="720" w:end="0"/>
        <w:jc w:val="both"/>
        <w:rPr/>
      </w:pPr>
      <w:r>
        <w:rPr/>
        <w:t>An arguable alternative to DOE utilizing its authority under section 202(c) of the Federal Power Act, either by itself or in conjunction with the FERC, would be for the Commission to institute an abbreviated, emergency, abbreviated investigation under sections 206</w:t>
      </w:r>
      <w:r>
        <w:rPr>
          <w:rStyle w:val="FootnoteCharacters"/>
          <w:rStyle w:val="FootnoteReference"/>
          <w:vertAlign w:val="superscript"/>
        </w:rPr>
        <w:footnoteReference w:id="11"/>
      </w:r>
      <w:r>
        <w:rPr/>
        <w:t xml:space="preserve"> and 307</w:t>
      </w:r>
      <w:r>
        <w:rPr>
          <w:rStyle w:val="FootnoteCharacters"/>
          <w:rStyle w:val="FootnoteReference"/>
          <w:vertAlign w:val="superscript"/>
        </w:rPr>
        <w:footnoteReference w:id="12"/>
      </w:r>
      <w:r>
        <w:rPr/>
        <w:t xml:space="preserve"> of the Federal Power Act with respect to the structural situation that is impeding the functioning of competitive electricity markets.  The Commission's "show cause" order could detail the current structural impediments to the marketplace, outline its intended solutions to those problems and invite interested persons to provide comments (within 30 days) as to why the Commission should not proceed with an emergency interim rule implementing its proposed solutions.  Following the comment period, the Commission may, as a result of its investigation, issue an emergency interim rule that would order utilities subject to its jurisdiction to immediately unbundle all services completely or to immediately join an RTO, etc.</w:t>
      </w:r>
      <w:r>
        <w:rPr>
          <w:rStyle w:val="FootnoteCharacters"/>
          <w:rStyle w:val="FootnoteReference"/>
          <w:vertAlign w:val="superscript"/>
        </w:rPr>
        <w:footnoteReference w:id="13"/>
      </w:r>
    </w:p>
    <w:p>
      <w:pPr>
        <w:pStyle w:val="Normal"/>
        <w:widowControl/>
        <w:spacing w:before="0" w:after="120"/>
        <w:ind w:firstLine="720" w:end="0"/>
        <w:jc w:val="both"/>
        <w:rPr/>
      </w:pPr>
      <w:r>
        <w:rPr/>
        <w:t xml:space="preserve">Section 553 of the Administrative Procedures Act (APA) provides that, when an agency promulgates a rule, it must publish a notice of proposed rulemaking in the Federal Register.  </w:t>
      </w:r>
      <w:r>
        <w:rPr>
          <w:i/>
        </w:rPr>
        <w:t>See</w:t>
      </w:r>
      <w:r>
        <w:rPr/>
        <w:t xml:space="preserve"> section 553(b).  This notice must contain the text or a description of the proposed rule.  </w:t>
      </w:r>
      <w:r>
        <w:rPr>
          <w:i/>
        </w:rPr>
        <w:t>See</w:t>
      </w:r>
      <w:r>
        <w:rPr/>
        <w:t xml:space="preserve"> section 553(b)(3).  The public and interested parties then have an opportunity to comment on the proposal, </w:t>
      </w:r>
      <w:r>
        <w:rPr>
          <w:i/>
        </w:rPr>
        <w:t>see</w:t>
      </w:r>
      <w:r>
        <w:rPr/>
        <w:t xml:space="preserve"> section 553(c), and the final rule cannot become effective until 30 days after its final publication in the Federal Register.  </w:t>
      </w:r>
      <w:r>
        <w:rPr>
          <w:i/>
        </w:rPr>
        <w:t>See</w:t>
      </w:r>
      <w:r>
        <w:rPr/>
        <w:t xml:space="preserve"> section 553(d).  Nevertheless, the statute allows some exceptions to these notice and comment and time-delay procedures.  The relevant exception for our purposes is the “good cause” exception.</w:t>
      </w:r>
    </w:p>
    <w:p>
      <w:pPr>
        <w:pStyle w:val="Normal"/>
        <w:widowControl/>
        <w:spacing w:before="0" w:after="120"/>
        <w:ind w:firstLine="720" w:end="0"/>
        <w:jc w:val="both"/>
        <w:rPr/>
      </w:pPr>
      <w:r>
        <w:rPr/>
        <w:t>According to section 553(b)(B), the agency may avoid the standard notice and comment requirements if it finds good cause that such procedures are “impracticable, unnecessary, or contrary to the public interest.”</w:t>
      </w:r>
      <w:r>
        <w:rPr>
          <w:rStyle w:val="FootnoteCharacters"/>
          <w:rStyle w:val="FootnoteReference"/>
          <w:vertAlign w:val="superscript"/>
        </w:rPr>
        <w:footnoteReference w:id="14"/>
      </w:r>
      <w:r>
        <w:rPr/>
        <w:t xml:space="preserve">  This exception is “narrowly construed and only reluctantly countenanced,” </w:t>
      </w:r>
      <w:r>
        <w:rPr>
          <w:i/>
        </w:rPr>
        <w:t>State of New Jersey v. EPA</w:t>
      </w:r>
      <w:r>
        <w:rPr/>
        <w:t xml:space="preserve">, 626 F.2d 1038, 1045 (D.C. Cir. 1980), but it is accepted in “emergency situations.”  </w:t>
      </w:r>
      <w:r>
        <w:rPr>
          <w:i/>
        </w:rPr>
        <w:t>American Fed’n of Gov’t Employees v. Block</w:t>
      </w:r>
      <w:r>
        <w:rPr/>
        <w:t xml:space="preserve">, 665 F.2d 1153, 1156 (D.C. Cir. 1981); </w:t>
      </w:r>
      <w:r>
        <w:rPr>
          <w:i/>
        </w:rPr>
        <w:t>see also Thrift Depositors of America v. Office of Thrift Supervision</w:t>
      </w:r>
      <w:r>
        <w:rPr/>
        <w:t>, 862 F. Supp. 586, 591 (D.D.C. 1994).</w:t>
      </w:r>
      <w:r>
        <w:rPr>
          <w:rStyle w:val="FootnoteCharacters"/>
          <w:rStyle w:val="FootnoteReference"/>
          <w:vertAlign w:val="superscript"/>
        </w:rPr>
        <w:footnoteReference w:id="15"/>
      </w:r>
    </w:p>
    <w:p>
      <w:pPr>
        <w:pStyle w:val="Normal"/>
        <w:widowControl/>
        <w:spacing w:before="0" w:after="120"/>
        <w:ind w:firstLine="720" w:end="0"/>
        <w:jc w:val="both"/>
        <w:rPr/>
      </w:pPr>
      <w:r>
        <w:rPr/>
        <w:t xml:space="preserve">The acceptability of emergency or interim regulations is “inevitably fact- or context-dependent.”  </w:t>
      </w:r>
      <w:r>
        <w:rPr>
          <w:i/>
        </w:rPr>
        <w:t>Mid-Tex Electric Cooperative v. FERC</w:t>
      </w:r>
      <w:r>
        <w:rPr/>
        <w:t>, 822 F.2d 1123, 1132 (D.C. Cir. 1987).</w:t>
      </w:r>
      <w:r>
        <w:rPr>
          <w:rStyle w:val="FootnoteCharacters"/>
          <w:rStyle w:val="FootnoteReference"/>
          <w:vertAlign w:val="superscript"/>
        </w:rPr>
        <w:footnoteReference w:id="16"/>
      </w:r>
      <w:r>
        <w:rPr/>
        <w:t xml:space="preserve"> Nonetheless, there are observable trends.  As the </w:t>
      </w:r>
      <w:r>
        <w:rPr>
          <w:i/>
        </w:rPr>
        <w:t>Mid-Tex</w:t>
      </w:r>
      <w:r>
        <w:rPr/>
        <w:t xml:space="preserve"> court noted, “public notice and comment</w:t>
      </w:r>
      <w:bookmarkStart w:id="2" w:name="QuickMark"/>
      <w:bookmarkEnd w:id="2"/>
      <w:r>
        <w:rPr/>
        <w:t xml:space="preserve"> . . . gain in importance the more expansive the regulatory reach of agency rules.”  </w:t>
      </w:r>
      <w:r>
        <w:rPr>
          <w:i/>
        </w:rPr>
        <w:t>Id</w:t>
      </w:r>
      <w:r>
        <w:rPr/>
        <w:t xml:space="preserve">. (citations omitted).  This applies both to the rules’ substantive scope and their presumed duration. Therefore, short-term rules which an agency uses to deal with a problem temporarily while devising a more permanent solution will be more acceptable than a rulemaking of long-term duration.  </w:t>
      </w:r>
      <w:r>
        <w:rPr>
          <w:i/>
        </w:rPr>
        <w:t>Id.</w:t>
      </w:r>
      <w:r>
        <w:rPr/>
        <w:t xml:space="preserve"> However, a rule’s limited scope will not guarantee that it qualifies under the good cause exception; the anticipated harm caused by following standard procedures must still be significant.  </w:t>
      </w:r>
      <w:r>
        <w:rPr>
          <w:i/>
        </w:rPr>
        <w:t>See Tennessee Gas Pipeline Co. v. FERC</w:t>
      </w:r>
      <w:r>
        <w:rPr/>
        <w:t>, 969 F.2d 1141, 1145 (D.C. Cir. 1992).</w:t>
      </w:r>
    </w:p>
    <w:p>
      <w:pPr>
        <w:pStyle w:val="Normal"/>
        <w:widowControl/>
        <w:spacing w:before="0" w:after="120"/>
        <w:ind w:firstLine="720" w:end="0"/>
        <w:jc w:val="both"/>
        <w:rPr/>
      </w:pPr>
      <w:r>
        <w:rPr/>
        <w:t xml:space="preserve">A procedural point which should be noted is that it is the agency’s responsibility to state in the emergency rules its basis for believing that good cause exists to promulgate them without notice and comment or the 30-day delay.  </w:t>
      </w:r>
      <w:r>
        <w:rPr>
          <w:i/>
        </w:rPr>
        <w:t>See</w:t>
      </w:r>
      <w:r>
        <w:rPr/>
        <w:t xml:space="preserve"> sections 553(b)(B), 553(d)(3).</w:t>
      </w:r>
    </w:p>
    <w:p>
      <w:pPr>
        <w:pStyle w:val="Normal"/>
        <w:rPr/>
      </w:pPr>
      <w:r>
        <w:rPr/>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Normal"/>
      <w:tabs>
        <w:tab w:val="clear" w:pos="720"/>
        <w:tab w:val="center" w:pos="4680" w:leader="none"/>
      </w:tabs>
      <w:jc w:val="both"/>
      <w:rPr>
        <w:sz w:val="16"/>
      </w:rPr>
    </w:pPr>
    <w:r>
      <w:rPr>
        <w:sz w:val="16"/>
      </w:rPr>
      <w:t>DC:98203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start="0" w:end="0"/>
        <w:rPr/>
      </w:pPr>
      <w:r>
        <w:rPr>
          <w:rStyle w:val="FootnoteCharacters"/>
        </w:rPr>
        <w:footnoteRef/>
      </w:r>
      <w:r>
        <w:rPr/>
        <w:t xml:space="preserve">  </w:t>
      </w:r>
      <w:r>
        <w:rPr/>
        <w:t>See discussion below of FERC's authority to issue emergency interim rules.</w:t>
      </w:r>
    </w:p>
  </w:footnote>
  <w:footnote w:id="3">
    <w:p>
      <w:pPr>
        <w:pStyle w:val="FootnoteText"/>
        <w:ind w:start="0" w:end="0"/>
        <w:rPr/>
      </w:pPr>
      <w:r>
        <w:rPr>
          <w:rStyle w:val="FootnoteCharacters"/>
        </w:rPr>
        <w:footnoteRef/>
      </w:r>
      <w:r>
        <w:rPr/>
        <w:t xml:space="preserve">  </w:t>
      </w:r>
      <w:r>
        <w:rPr/>
        <w:t>Section 404 of the DOE Organization Act provides that:</w:t>
      </w:r>
    </w:p>
    <w:p>
      <w:pPr>
        <w:pStyle w:val="FootnoteText"/>
        <w:rPr/>
      </w:pPr>
      <w:r>
        <w:rPr/>
        <w:t>Except as provided in section 403 whenever the Secretary proposes to prescribe rules regulations, and statements of policy of general applicability in the exercise of any function which is transferred to the Secretary under section 301 or 306 of this Act, he shall notify the Commission of the proposed action.  If the Commission, in its discretion, determines within such period as the Secretary may prescribe, that the proposed action may significantly affect any function within the jurisdiction of the Commission pursuant to section 402(a)(1), (b), and (c)(1), the Secretary shall immediately refer the matter to the Commission, which shall provide an opportunity for public comment.</w:t>
      </w:r>
    </w:p>
    <w:p>
      <w:pPr>
        <w:pStyle w:val="FootnoteText"/>
        <w:spacing w:before="0" w:after="240"/>
        <w:ind w:hanging="0" w:start="432" w:end="0"/>
        <w:jc w:val="both"/>
        <w:rPr/>
      </w:pPr>
      <w:r>
        <w:rPr/>
        <w:t>42 U.S.C. 7174.</w:t>
      </w:r>
    </w:p>
  </w:footnote>
  <w:footnote w:id="4">
    <w:p>
      <w:pPr>
        <w:pStyle w:val="FootnoteText"/>
        <w:spacing w:before="0" w:after="240"/>
        <w:ind w:start="0" w:end="0"/>
        <w:rPr/>
      </w:pPr>
      <w:r>
        <w:rPr>
          <w:rStyle w:val="FootnoteCharacters"/>
        </w:rPr>
        <w:footnoteRef/>
      </w:r>
      <w:r>
        <w:rPr/>
        <w:t xml:space="preserve">  </w:t>
      </w:r>
      <w:r>
        <w:rPr/>
        <w:t xml:space="preserve">The Secretary of Energy previously has delegated to the Commission proceedings within DOE's jurisdiction.  </w:t>
      </w:r>
      <w:r>
        <w:rPr>
          <w:i/>
        </w:rPr>
        <w:t>See, e.g., Enron Power Marketing, Inc. v. El Paso Electric Company</w:t>
      </w:r>
      <w:r>
        <w:rPr/>
        <w:t>, 83 FERC &amp;61,213 (1998).</w:t>
      </w:r>
    </w:p>
  </w:footnote>
  <w:footnote w:id="5">
    <w:p>
      <w:pPr>
        <w:pStyle w:val="FootnoteText"/>
        <w:ind w:start="0" w:end="0"/>
        <w:rPr/>
      </w:pPr>
      <w:r>
        <w:rPr>
          <w:rStyle w:val="FootnoteCharacters"/>
        </w:rPr>
        <w:footnoteRef/>
      </w:r>
      <w:r>
        <w:rPr/>
        <w:t xml:space="preserve">  </w:t>
      </w:r>
      <w:r>
        <w:rPr/>
        <w:t>In support of this characterization, the FPC cited the following legislative history:</w:t>
      </w:r>
    </w:p>
    <w:p>
      <w:pPr>
        <w:pStyle w:val="FootnoteText"/>
        <w:rPr/>
      </w:pPr>
      <w:r>
        <w:rPr/>
        <w:t>Subsection (c) gives the Commission a much broader and more complete authority to compel the connection of facilities and the generation delivery, or interchange of energy during times of war or other emergency.  This is a temporary power designed to avoid a repetition of the conditions during the last war [WWI] when a serious power shortage arose.  Drought and other national emergencies have created similar crises in certain sections of the country: such conditions should find a Federal agency ready to do all that can be done in order to prevent a breakdown in electric supply.  S. Rep. No. 621 74th Cong., 1st Session, p. 49 (1935).</w:t>
      </w:r>
    </w:p>
    <w:p>
      <w:pPr>
        <w:pStyle w:val="FootnoteText"/>
        <w:spacing w:before="0" w:after="240"/>
        <w:ind w:hanging="0" w:start="432" w:end="0"/>
        <w:jc w:val="both"/>
        <w:rPr/>
      </w:pPr>
      <w:r>
        <w:rPr>
          <w:i/>
        </w:rPr>
        <w:t>Id</w:t>
      </w:r>
      <w:r>
        <w:rPr/>
        <w:t>.</w:t>
      </w:r>
    </w:p>
  </w:footnote>
  <w:footnote w:id="6">
    <w:p>
      <w:pPr>
        <w:pStyle w:val="FootnoteText"/>
        <w:spacing w:before="0" w:after="240"/>
        <w:ind w:start="0" w:end="0"/>
        <w:rPr/>
      </w:pPr>
      <w:r>
        <w:rPr>
          <w:rStyle w:val="FootnoteCharacters"/>
        </w:rPr>
        <w:footnoteRef/>
      </w:r>
      <w:r>
        <w:rPr/>
        <w:t xml:space="preserve">  </w:t>
      </w:r>
      <w:r>
        <w:rPr/>
        <w:t xml:space="preserve">In 1974, concerned by forecasts of dire oil shortfalls, NEPOOL petitioned the FPC to use its emergency authority under section 202(c) to order utilities east of the Mississippi River with excess capacity to supply it with energy. The FPC immediately ordered eastern utilities to notify NEPOOL of any excess capacity available for "coal-by-wire" transactions and by convening a public conference to arrange a voluntary solution of NEPOOL's problems.  By later order, the FPC determined that the situation did not justify invocation of its emergency powers and granted NEPOOL's motion to withdraw its petition.  In </w:t>
      </w:r>
      <w:r>
        <w:rPr>
          <w:i/>
        </w:rPr>
        <w:t>Richmond</w:t>
      </w:r>
      <w:r>
        <w:rPr/>
        <w:t>, the Court, among other things, affirmed the FPC's decision to allow NEPOOL to withdraw its petition for emergency relief.</w:t>
      </w:r>
    </w:p>
  </w:footnote>
  <w:footnote w:id="7">
    <w:p>
      <w:pPr>
        <w:pStyle w:val="FootnoteText"/>
        <w:spacing w:before="0" w:after="240"/>
        <w:ind w:start="0" w:end="0"/>
        <w:rPr/>
      </w:pPr>
      <w:r>
        <w:rPr>
          <w:rStyle w:val="FootnoteCharacters"/>
        </w:rPr>
        <w:footnoteRef/>
      </w:r>
      <w:r>
        <w:rPr>
          <w:vertAlign w:val="superscript"/>
        </w:rPr>
        <w:t xml:space="preserve">   </w:t>
      </w:r>
      <w:r>
        <w:rPr>
          <w:i/>
        </w:rPr>
        <w:t>Town of Massena, New York v. Niagara Mohawk Power Corporation and The Power Authority of the State of New York</w:t>
      </w:r>
      <w:r>
        <w:rPr/>
        <w:t>, “Order Denying Request for Emergency Relief,” 8 FERC ¶61,199, 61,699 (1979).</w:t>
      </w:r>
    </w:p>
  </w:footnote>
  <w:footnote w:id="8">
    <w:p>
      <w:pPr>
        <w:pStyle w:val="FootnoteText"/>
        <w:spacing w:before="0" w:after="240"/>
        <w:ind w:start="0" w:end="0"/>
        <w:rPr/>
      </w:pPr>
      <w:r>
        <w:rPr>
          <w:rStyle w:val="FootnoteCharacters"/>
        </w:rPr>
        <w:footnoteRef/>
      </w:r>
      <w:r>
        <w:rPr/>
        <w:t xml:space="preserve">  </w:t>
      </w:r>
      <w:r>
        <w:rPr/>
        <w:t>That order stated that “there is hereby delegated to the Administrator of the ERA the authority to adopt rules, issue orders, licenses and allocations, collect fees, and take such other action as may be necessary and appropriate” to administer the following function:  To order the temporary connection s of facilities, during times of war or national emergency or the generation or transmission of electric energy and such generation, delivery, interchange, or transmission of electric energy as in the Administrator’s judgment will best meet the emergency and serve the public interest, pursuant to the provision of section 202(c) of the Federal Power Act.”</w:t>
      </w:r>
    </w:p>
  </w:footnote>
  <w:footnote w:id="9">
    <w:p>
      <w:pPr>
        <w:pStyle w:val="FootnoteText"/>
        <w:spacing w:before="0" w:after="240"/>
        <w:ind w:start="0" w:end="0"/>
        <w:rPr/>
      </w:pPr>
      <w:r>
        <w:rPr>
          <w:rStyle w:val="FootnoteCharacters"/>
        </w:rPr>
        <w:footnoteRef/>
      </w:r>
      <w:r>
        <w:rPr/>
        <w:t xml:space="preserve">  </w:t>
      </w:r>
      <w:r>
        <w:rPr/>
        <w:t>Id.</w:t>
      </w:r>
    </w:p>
  </w:footnote>
  <w:footnote w:id="10">
    <w:p>
      <w:pPr>
        <w:pStyle w:val="FootnoteText"/>
        <w:spacing w:before="0" w:after="240"/>
        <w:ind w:start="0" w:end="0"/>
        <w:rPr/>
      </w:pPr>
      <w:r>
        <w:rPr>
          <w:rStyle w:val="FootnoteCharacters"/>
        </w:rPr>
        <w:footnoteRef/>
      </w:r>
      <w:r>
        <w:rPr/>
        <w:t xml:space="preserve">  </w:t>
      </w:r>
      <w:r>
        <w:rPr/>
        <w:t>DOE’s regulations set out the procedures for filing an application for relief under section 202(c) of the Federal Power Act.  10 C.F.R. §205.373 (1999).  These regulations provide that “each application of a section 202(c) order shall include specific ‘baseline data.’”</w:t>
      </w:r>
    </w:p>
  </w:footnote>
  <w:footnote w:id="11">
    <w:p>
      <w:pPr>
        <w:pStyle w:val="FootnoteText"/>
        <w:spacing w:before="0" w:after="240"/>
        <w:ind w:start="0" w:end="0"/>
        <w:rPr/>
      </w:pPr>
      <w:r>
        <w:rPr>
          <w:rStyle w:val="FootnoteCharacters"/>
        </w:rPr>
        <w:footnoteRef/>
      </w:r>
      <w:r>
        <w:rPr>
          <w:vertAlign w:val="superscript"/>
        </w:rPr>
        <w:t xml:space="preserve">  </w:t>
      </w:r>
      <w:r>
        <w:rPr/>
        <w:t xml:space="preserve">  </w:t>
      </w:r>
      <w:r>
        <w:rPr/>
        <w:t xml:space="preserve">Section 206(a) of the Federal Power Act provides that “Whenever the Commission, after hearing had upon its own motion or upon complaint, shall find that any rate, charges, or classification demanded, observed, charged, or collected by any public utility for any transmission or sale subject to the jurisdiction of the Commission, or that any rule, regulation, </w:t>
      </w:r>
      <w:r>
        <w:rPr>
          <w:u w:val="single"/>
        </w:rPr>
        <w:t>practice</w:t>
      </w:r>
      <w:r>
        <w:rPr/>
        <w:t xml:space="preserve"> or contract affecting such rate, charge, or classification is unjust, unreasonable, unduly discriminatory or preferential, the Commission shall determine the just and reasonable rate, charge, classification, rule, regulation, </w:t>
      </w:r>
      <w:r>
        <w:rPr>
          <w:u w:val="single"/>
        </w:rPr>
        <w:t>practice</w:t>
      </w:r>
      <w:r>
        <w:rPr/>
        <w:t>, or contract to be thereafter observed and in force, and shall fix the same by order.”  16 U.S.C. 824e(a) (1996)(emphasis added).</w:t>
      </w:r>
    </w:p>
  </w:footnote>
  <w:footnote w:id="12">
    <w:p>
      <w:pPr>
        <w:pStyle w:val="FootnoteText"/>
        <w:spacing w:before="0" w:after="240"/>
        <w:ind w:start="0" w:end="0"/>
        <w:rPr/>
      </w:pPr>
      <w:r>
        <w:rPr>
          <w:rStyle w:val="FootnoteCharacters"/>
        </w:rPr>
        <w:footnoteRef/>
      </w:r>
      <w:r>
        <w:rPr/>
        <w:t xml:space="preserve">  </w:t>
      </w:r>
      <w:r>
        <w:rPr/>
        <w:t>Section 307 of the Federal Power Act provides that:  “the Commission may investigate any facts, conditions, practices, or matters which it may find necessary or proper in order to determine whether any person has violated or is about to violate any provision of this Act or any rule, regulation , or order thereunder, or to aid in the enforcement of the provision of this Act or in prescribing rules or regulations thereunder or in obtaining information to serve as a basis for recommending further legislation concerning the matters to which this Act relates.”  16 U.S.C. 825f(a) (1996).</w:t>
      </w:r>
    </w:p>
  </w:footnote>
  <w:footnote w:id="13">
    <w:p>
      <w:pPr>
        <w:pStyle w:val="FootnoteText"/>
        <w:spacing w:before="0" w:after="240"/>
        <w:ind w:start="0" w:end="0"/>
        <w:rPr/>
      </w:pPr>
      <w:r>
        <w:rPr>
          <w:rStyle w:val="FootnoteCharacters"/>
        </w:rPr>
        <w:footnoteRef/>
      </w:r>
      <w:r>
        <w:rPr>
          <w:vertAlign w:val="superscript"/>
        </w:rPr>
        <w:t xml:space="preserve">    </w:t>
      </w:r>
      <w:r>
        <w:rPr/>
        <w:t>Of course, if the Commission justifies its action under sections 206 and 307 of the Federal Power Act on the basis of an “emergency” electricity shortage in many parts of the country, opponents of the Commission’s action may challenge the Commission on the ground that section 202(c) is the sole emergency power provided in the Federal Power Act, and section 202(c) is administered by DOE  -- not by the Commission.  Also, any rule or regulation promulgated under section 206(c) would only involve transmission service, as the Commission has no jurisdiction over facilities used for generation.</w:t>
      </w:r>
    </w:p>
  </w:footnote>
  <w:footnote w:id="14">
    <w:p>
      <w:pPr>
        <w:pStyle w:val="FootnoteText"/>
        <w:spacing w:before="0" w:after="240"/>
        <w:ind w:start="0" w:end="0"/>
        <w:rPr/>
      </w:pPr>
      <w:r>
        <w:rPr>
          <w:rStyle w:val="FootnoteCharacters"/>
        </w:rPr>
        <w:footnoteRef/>
      </w:r>
      <w:r>
        <w:rPr/>
        <w:t xml:space="preserve">  </w:t>
      </w:r>
      <w:r>
        <w:rPr/>
        <w:t>There is a parallel good cause exception to the 30-day rule at section 553(d)(3).</w:t>
      </w:r>
    </w:p>
  </w:footnote>
  <w:footnote w:id="15">
    <w:p>
      <w:pPr>
        <w:pStyle w:val="FootnoteText"/>
        <w:spacing w:before="0" w:after="240"/>
        <w:ind w:start="0" w:end="0"/>
        <w:rPr/>
      </w:pPr>
      <w:r>
        <w:rPr>
          <w:rStyle w:val="FootnoteCharacters"/>
        </w:rPr>
        <w:footnoteRef/>
      </w:r>
      <w:r>
        <w:rPr/>
        <w:t xml:space="preserve">  </w:t>
      </w:r>
      <w:r>
        <w:rPr/>
        <w:t xml:space="preserve">The other situation in which the good cause exception has been accepted is when the agency is faced with a statutory due-date for the promulgation of regulations, especially an unreasonable one. </w:t>
      </w:r>
      <w:r>
        <w:rPr>
          <w:i/>
        </w:rPr>
        <w:t>See Methodist Hospital of Sacramento v. Shalala</w:t>
      </w:r>
      <w:r>
        <w:rPr/>
        <w:t>, 38 F.3d 1225 (D.C. Cir. 1994).</w:t>
      </w:r>
    </w:p>
  </w:footnote>
  <w:footnote w:id="16">
    <w:p>
      <w:pPr>
        <w:pStyle w:val="FootnoteText"/>
        <w:spacing w:before="0" w:after="240"/>
        <w:ind w:start="0" w:end="0"/>
        <w:rPr/>
      </w:pPr>
      <w:r>
        <w:rPr>
          <w:rStyle w:val="FootnoteCharacters"/>
        </w:rPr>
        <w:footnoteRef/>
      </w:r>
      <w:r>
        <w:rPr/>
        <w:t xml:space="preserve">  </w:t>
      </w:r>
      <w:r>
        <w:rPr/>
        <w:t>Mid</w:t>
      </w:r>
      <w:r>
        <w:rPr>
          <w:i/>
        </w:rPr>
        <w:t>-Tex</w:t>
      </w:r>
      <w:r>
        <w:rPr/>
        <w:t xml:space="preserve"> involved an interim rule permitting utilities to recover construction work-in-progress (CWIP) in their rates.  The interim rule had been promulgated after a court remand of an initial CWIP final rule.  The interim CWIP rule was promulgated without notice and comment.  On the issue of whether FERC had violated the APA by issuing the interim CWIP rule without notice and comment, the court of appeals denied petitions for review of the interim rule because:  (1) the interim rule was pending the developing of a final CWIP rule in response to the court remand, (2) the fundamental approach to CWIP was supported by a record developed in the earlier rulemaking proceeding, and (3) during the period following the 1983 effective date of the original CWIP rule to the 1985 remand, utilities had placed considerable reliance on their ability to recover CWIP in their rates.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DocumentLabel">
    <w:name w:val="Document Label"/>
    <w:basedOn w:val="Normal"/>
    <w:next w:val="BodyText"/>
    <w:qFormat/>
    <w:pPr>
      <w:keepNext w:val="true"/>
      <w:keepLines/>
      <w:widowControl/>
      <w:spacing w:before="120" w:after="240"/>
    </w:pPr>
    <w:rPr>
      <w:b/>
      <w:caps/>
      <w:spacing w:val="180"/>
      <w:kern w:val="2"/>
      <w:sz w:val="32"/>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hanging="0" w:start="432" w:end="0"/>
      <w:jc w:val="both"/>
    </w:pPr>
    <w:rPr/>
  </w:style>
  <w:style w:type="paragraph" w:styleId="EndnoteText">
    <w:name w:val="end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2000-08-08T15:43:00Z</dcterms:created>
  <dc:creator>System Administration</dc:creator>
  <dc:description/>
  <dc:language>en-CA</dc:language>
  <cp:lastModifiedBy>Systems Administrator</cp:lastModifiedBy>
  <cp:lastPrinted>2000-08-08T14:10:00Z</cp:lastPrinted>
  <dcterms:modified xsi:type="dcterms:W3CDTF">2000-08-08T15:43:00Z</dcterms:modified>
  <cp:revision>2</cp:revision>
  <dc:subject/>
  <dc:title>MEMORANDUM</dc:title>
</cp:coreProperties>
</file>