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[B&amp;P Draft 1/26/01]</w:t>
      </w:r>
    </w:p>
    <w:p>
      <w:pPr>
        <w:pStyle w:val="Normal"/>
        <w:rPr/>
      </w:pPr>
      <w:r>
        <w:rPr/>
      </w:r>
    </w:p>
    <w:p>
      <w:pPr>
        <w:pStyle w:val="Normal"/>
        <w:jc w:val="center"/>
        <w:rPr/>
      </w:pPr>
      <w:r>
        <w:rPr/>
        <w:t>ACKNOWLEDGEMENT</w:t>
      </w:r>
    </w:p>
    <w:p>
      <w:pPr>
        <w:pStyle w:val="Normal"/>
        <w:jc w:val="center"/>
        <w:rPr/>
      </w:pPr>
      <w:r>
        <w:rPr/>
        <w:t>AND</w:t>
      </w:r>
    </w:p>
    <w:p>
      <w:pPr>
        <w:pStyle w:val="Normal"/>
        <w:jc w:val="center"/>
        <w:rPr/>
      </w:pPr>
      <w:r>
        <w:rPr/>
        <w:t>INTERCREDITOR AGREEMENT</w:t>
      </w:r>
    </w:p>
    <w:p>
      <w:pPr>
        <w:pStyle w:val="Normal"/>
        <w:rPr/>
      </w:pPr>
      <w:r>
        <w:rPr/>
      </w:r>
    </w:p>
    <w:p>
      <w:pPr>
        <w:pStyle w:val="Normal"/>
        <w:rPr/>
      </w:pPr>
      <w:r>
        <w:rPr/>
        <w:tab/>
        <w:t>This Acknowledgement and Intercreditor Agreement (this "Agreement") is made and entered into as of [________________], 2001, by and among Metals USA, Inc., a Delaware corporation ("MUI"), the MUI subsidiaries that are parties hereto (the “MUI Subsidiaries”), Enron Industrial Markets, LLC, a Delaware limited liability company ("Enron"), and BANK ONE, NA, individually and as agent (the "Agent") for itself and the other institutions (the "Lenders") from time to time parties to the Credit Agreement (as hereinafter defined).</w:t>
      </w:r>
    </w:p>
    <w:p>
      <w:pPr>
        <w:pStyle w:val="Normal"/>
        <w:rPr/>
      </w:pPr>
      <w:r>
        <w:rPr/>
      </w:r>
    </w:p>
    <w:p>
      <w:pPr>
        <w:pStyle w:val="Normal"/>
        <w:jc w:val="center"/>
        <w:rPr/>
      </w:pPr>
      <w:r>
        <w:rPr/>
        <w:t>Recitals</w:t>
      </w:r>
    </w:p>
    <w:p>
      <w:pPr>
        <w:pStyle w:val="Normal"/>
        <w:rPr/>
      </w:pPr>
      <w:r>
        <w:rPr/>
      </w:r>
    </w:p>
    <w:p>
      <w:pPr>
        <w:pStyle w:val="1Paragraph"/>
        <w:numPr>
          <w:ilvl w:val="0"/>
          <w:numId w:val="1"/>
        </w:numPr>
        <w:jc w:val="both"/>
        <w:rPr/>
      </w:pPr>
      <w:r>
        <w:rPr/>
        <w:tab/>
        <w:t xml:space="preserve">WHEREAS, MUI and the MUI Subsidiaries (collectively the “MUI Entities”) will enter into a transaction with Enron pursuant to which the MUI Entities will convey (i) all of their existing inventory of certain metal products of the types described on </w:t>
      </w:r>
      <w:r>
        <w:rPr>
          <w:u w:val="single"/>
        </w:rPr>
        <w:t xml:space="preserve">Exhibit A </w:t>
      </w:r>
      <w:r>
        <w:rPr/>
        <w:t>hereto (such types of metal being referred to herein as “Products”) and (ii) the MUI Entities’ contract rights to purchase Products from third parties to Enron pursuant to the terms of a Purchase Agreement dated as of January 31, 2001 (the “Purchase Agreement”);</w:t>
      </w:r>
    </w:p>
    <w:p>
      <w:pPr>
        <w:pStyle w:val="1Paragraph"/>
        <w:jc w:val="both"/>
        <w:rPr/>
      </w:pPr>
      <w:r>
        <w:rPr/>
      </w:r>
    </w:p>
    <w:p>
      <w:pPr>
        <w:pStyle w:val="1Paragraph"/>
        <w:numPr>
          <w:ilvl w:val="0"/>
          <w:numId w:val="1"/>
        </w:numPr>
        <w:jc w:val="both"/>
        <w:rPr/>
      </w:pPr>
      <w:r>
        <w:rPr/>
        <w:t xml:space="preserve">      </w:t>
      </w:r>
      <w:r>
        <w:rPr/>
        <w:t xml:space="preserve">WHEREAS, Enron will enter into Warehouse and Services Agreements with the MUI Entities (the “Warehouse and Services Agreements”) pursuant to which the MUI Entities shall, at warehouses owned or leased by MUI Entities, provide for Enron storage services, in and out handling services and other services with respect to Products that are owned by Enron including Products that Enron has purchased under the Purchase Agreement; </w:t>
      </w:r>
    </w:p>
    <w:p>
      <w:pPr>
        <w:pStyle w:val="1Paragraph"/>
        <w:jc w:val="both"/>
        <w:rPr/>
      </w:pPr>
      <w:r>
        <w:rPr/>
      </w:r>
    </w:p>
    <w:p>
      <w:pPr>
        <w:pStyle w:val="1Paragraph"/>
        <w:numPr>
          <w:ilvl w:val="0"/>
          <w:numId w:val="1"/>
        </w:numPr>
        <w:jc w:val="both"/>
        <w:rPr/>
      </w:pPr>
      <w:r>
        <w:rPr/>
        <w:t xml:space="preserve">        </w:t>
      </w:r>
      <w:r>
        <w:rPr/>
        <w:t>WHEREAS, Enron will sell Products to a number of entities including the MUI Entities,  and Enron’s sales of Products to the MUI Entities shall be governed by the terms of a Supply Agreement dated as of [_______], 2001 (the "Supply Agreement").  The title to Products that are to be supplied under the Supply Agreement (the “Supplied Products”) shall not pass from Enron to any MUI Entity until Enron has consented in writing to a purchase order from the MUI Entity for such Products and such Products have been [taken out of storage by the MUI Entity pursuant to such purchase order.][incorporated into a MUI Entity’s work in progress]  The Supply Agreement shall contain a security agreement (the “Enron Security Agreement”) granting to Enron a security interest in the Supplied Products and the proceeds of the Supplied Products (collectively, the "Products Collateral") which shall secure the MUI Entities’ obligations to pay Enron for the Supplied Products.  Additionally, as a precautionary measure, the Enron Security Agreement shall be broad enough so that Enron will have a security interest in the Products Collateral at all times so that even if title to any of the Supplied Products is determined to pass to a MUI Entity prior to the time frame set forth in the Supply Agreement, Enron will have a security interest in the Products Collateral;</w:t>
      </w:r>
    </w:p>
    <w:p>
      <w:pPr>
        <w:pStyle w:val="Normal"/>
        <w:rPr/>
      </w:pPr>
      <w:r>
        <w:rPr/>
      </w:r>
    </w:p>
    <w:p>
      <w:pPr>
        <w:pStyle w:val="1Paragraph"/>
        <w:numPr>
          <w:ilvl w:val="0"/>
          <w:numId w:val="1"/>
        </w:numPr>
        <w:jc w:val="both"/>
        <w:rPr/>
      </w:pPr>
      <w:r>
        <w:rPr/>
        <w:tab/>
        <w:t xml:space="preserve">WHEREAS, MUI, as borrower, the Agent, as agent, and the Lenders, as lenders, have entered into a Second Amended and Restated Credit Agreement, dated as of November 1, 2000 (the "Credit Agreement"), and to secure MUI’s obligations to the Agent and the Lenders thereunder, MUI and its subsidiaries have entered into Security Agreements dated as of November 1, 2000 (collectively, the "Lender Security Agreement,"), pursuant to which MUI and its subsidiaries have granted to the Agent, for the benefit of the Lenders, a security interest in the collateral described therein (the “Lender Collateral”); </w:t>
      </w:r>
    </w:p>
    <w:p>
      <w:pPr>
        <w:pStyle w:val="1Paragraph"/>
        <w:jc w:val="both"/>
        <w:rPr/>
      </w:pPr>
      <w:r>
        <w:rPr/>
      </w:r>
    </w:p>
    <w:p>
      <w:pPr>
        <w:pStyle w:val="1Paragraph"/>
        <w:numPr>
          <w:ilvl w:val="0"/>
          <w:numId w:val="1"/>
        </w:numPr>
        <w:jc w:val="both"/>
        <w:rPr/>
      </w:pPr>
      <w:r>
        <w:rPr/>
        <w:t xml:space="preserve">        </w:t>
      </w:r>
      <w:r>
        <w:rPr/>
        <w:t xml:space="preserve">WHEREAS, the parties hereto desire to set forth their respective rights with respect to the Supplied Products, the Products Collateral and the Lender Collateral as more fully set forth below; </w:t>
      </w:r>
    </w:p>
    <w:p>
      <w:pPr>
        <w:pStyle w:val="1Paragraph"/>
        <w:jc w:val="both"/>
        <w:rPr/>
      </w:pPr>
      <w:r>
        <w:rPr/>
      </w:r>
    </w:p>
    <w:p>
      <w:pPr>
        <w:pStyle w:val="1Paragraph"/>
        <w:numPr>
          <w:ilvl w:val="0"/>
          <w:numId w:val="1"/>
        </w:numPr>
        <w:jc w:val="both"/>
        <w:rPr/>
      </w:pPr>
      <w:r>
        <w:rPr/>
        <w:tab/>
        <w:t>NOW, THEREFORE, in consideration of the mutual covenants herein contained and other valuable consideration, receipt of which is hereby acknowledged, the parties hereto agree as follows:</w:t>
      </w:r>
    </w:p>
    <w:p>
      <w:pPr>
        <w:pStyle w:val="1Paragraph"/>
        <w:jc w:val="both"/>
        <w:rPr/>
      </w:pPr>
      <w:r>
        <w:rPr/>
      </w:r>
    </w:p>
    <w:p>
      <w:pPr>
        <w:pStyle w:val="2Paragraph"/>
        <w:numPr>
          <w:ilvl w:val="1"/>
          <w:numId w:val="1"/>
        </w:numPr>
        <w:ind w:firstLine="720" w:start="0" w:end="0"/>
        <w:jc w:val="both"/>
        <w:rPr/>
      </w:pPr>
      <w:r>
        <w:rPr/>
        <w:t xml:space="preserve"> </w:t>
      </w:r>
      <w:r>
        <w:rPr/>
        <w:tab/>
        <w:t>The Agent hereby acknowledges notice of and consents to, the Purchase Agreement, the Warehouse and Services Agreements, the Supply Agreement, the Enron Security Agreement, the related transaction and security documents and the transactions contemplated thereby or related thereto, and the Agent confirms that such documents and transactions do not cause any default or event of default under the Credit Agreement or any other documents and obligations related thereto.  The Agent and MUI hereby represent and warrant that as of the date hereof there is no default or event of default under the Credit Agreement or any other documents and obligations related thereto.</w:t>
      </w:r>
    </w:p>
    <w:p>
      <w:pPr>
        <w:pStyle w:val="2Paragraph"/>
        <w:jc w:val="both"/>
        <w:rPr/>
      </w:pPr>
      <w:r>
        <w:rPr/>
      </w:r>
    </w:p>
    <w:p>
      <w:pPr>
        <w:pStyle w:val="2Paragraph"/>
        <w:numPr>
          <w:ilvl w:val="1"/>
          <w:numId w:val="1"/>
        </w:numPr>
        <w:ind w:firstLine="720" w:start="0" w:end="0"/>
        <w:jc w:val="both"/>
        <w:rPr/>
      </w:pPr>
      <w:r>
        <w:rPr/>
        <w:t xml:space="preserve">       </w:t>
      </w:r>
      <w:r>
        <w:rPr/>
        <w:t xml:space="preserve">The Agent hereby acknowledges that Enron has and shall retain title to all Supplied Products until Enron has consented in writing to a purchase order from the MUI Entity for such Products and such Products have been [taken out of storage by the MUI Entity pursuant to such purchase order.] [incorporated into a MUI Entity’s work in progress.]  The Agent hereby assigns any and all interests and / or security interest it has in the Supplied Products and the Products Collateral to Enron and agrees to assign any future interest and / or security interests it may acquire in the Supplied Products and the Products Collateral to Enron.  </w:t>
      </w:r>
    </w:p>
    <w:p>
      <w:pPr>
        <w:pStyle w:val="2Paragraph"/>
        <w:jc w:val="both"/>
        <w:rPr/>
      </w:pPr>
      <w:r>
        <w:rPr/>
      </w:r>
    </w:p>
    <w:p>
      <w:pPr>
        <w:pStyle w:val="2Paragraph"/>
        <w:numPr>
          <w:ilvl w:val="1"/>
          <w:numId w:val="1"/>
        </w:numPr>
        <w:ind w:firstLine="720" w:start="0" w:end="0"/>
        <w:jc w:val="both"/>
        <w:rPr/>
      </w:pPr>
      <w:r>
        <w:rPr/>
        <w:t xml:space="preserve">       </w:t>
      </w:r>
      <w:r>
        <w:rPr/>
        <w:t>In order to further clarify and establish the relative priority of the respective rights and security interests of Enron, the Agent and the Lenders, in the Supplied Products, the Products Collateral and the Lender Collateral, the parties hereto agree that:</w:t>
      </w:r>
    </w:p>
    <w:p>
      <w:pPr>
        <w:pStyle w:val="2Paragraph"/>
        <w:jc w:val="both"/>
        <w:rPr/>
      </w:pPr>
      <w:r>
        <w:rPr/>
      </w:r>
    </w:p>
    <w:p>
      <w:pPr>
        <w:pStyle w:val="3Paragraph"/>
        <w:numPr>
          <w:ilvl w:val="2"/>
          <w:numId w:val="1"/>
        </w:numPr>
        <w:ind w:firstLine="720" w:start="720" w:end="0"/>
        <w:jc w:val="both"/>
        <w:rPr/>
      </w:pPr>
      <w:r>
        <w:rPr/>
        <w:t xml:space="preserve">  </w:t>
      </w:r>
      <w:r>
        <w:rPr/>
        <w:t>the rights and security interests of Enron in the Supplied Products and the Products Collateral shall be prior and superior to the rights and security interests, if any, of the Agent and the Lenders in the Supplied Products and Products Collateral, or any part thereof, irrespective of the time of filing, order of filing or priority of financing statements filed by the Agent, the Lenders, the MUI Entities, or Enron or any other manner of perfection of their respective security interests;</w:t>
      </w:r>
    </w:p>
    <w:p>
      <w:pPr>
        <w:pStyle w:val="3Paragraph"/>
        <w:ind w:start="720" w:end="0"/>
        <w:jc w:val="both"/>
        <w:rPr/>
      </w:pPr>
      <w:r>
        <w:rPr/>
      </w:r>
    </w:p>
    <w:p>
      <w:pPr>
        <w:pStyle w:val="3Paragraph"/>
        <w:numPr>
          <w:ilvl w:val="2"/>
          <w:numId w:val="1"/>
        </w:numPr>
        <w:ind w:firstLine="720" w:start="720" w:end="0"/>
        <w:jc w:val="both"/>
        <w:rPr/>
      </w:pPr>
      <w:r>
        <w:rPr/>
        <w:t xml:space="preserve">  </w:t>
      </w:r>
      <w:r>
        <w:rPr/>
        <w:t>except for the Supplied Products and Products Collateral, the security interests of the Agent and the Lenders in all of the MUI Entities' present and future property, and the proceeds thereof, shall be prior and superior to the security interests of Enron, irrespective of the time of filing, order or filing or priority of financing statements filed by the Agent, the Lenders, the MUI Entities or Enron or any other manner of perfection of their respective security interests;</w:t>
      </w:r>
    </w:p>
    <w:p>
      <w:pPr>
        <w:pStyle w:val="3Paragraph"/>
        <w:jc w:val="both"/>
        <w:rPr/>
      </w:pPr>
      <w:r>
        <w:rPr/>
      </w:r>
    </w:p>
    <w:p>
      <w:pPr>
        <w:pStyle w:val="3Paragraph"/>
        <w:numPr>
          <w:ilvl w:val="2"/>
          <w:numId w:val="1"/>
        </w:numPr>
        <w:ind w:firstLine="720" w:start="720" w:end="0"/>
        <w:jc w:val="both"/>
        <w:rPr/>
      </w:pPr>
      <w:r>
        <w:rPr/>
        <w:t xml:space="preserve">  </w:t>
      </w:r>
      <w:r>
        <w:rPr/>
        <w:t>the holder of a junior lien shall not foreclose upon or exercise any right with respect thereto so long as a MUI Entity shall be indebted or obligated to the holder of a senior lien; and</w:t>
      </w:r>
    </w:p>
    <w:p>
      <w:pPr>
        <w:pStyle w:val="3Paragraph"/>
        <w:jc w:val="both"/>
        <w:rPr/>
      </w:pPr>
      <w:r>
        <w:rPr/>
      </w:r>
    </w:p>
    <w:p>
      <w:pPr>
        <w:pStyle w:val="3Paragraph"/>
        <w:numPr>
          <w:ilvl w:val="2"/>
          <w:numId w:val="1"/>
        </w:numPr>
        <w:ind w:firstLine="720" w:start="720" w:end="0"/>
        <w:jc w:val="both"/>
        <w:rPr/>
      </w:pPr>
      <w:r>
        <w:rPr/>
        <w:t xml:space="preserve">  </w:t>
      </w:r>
      <w:r>
        <w:rPr/>
        <w:t>except as herein specifically provided, the rights and priorities between the Agent, the MUI Entities and Enron shall be determined under applicable law.</w:t>
      </w:r>
    </w:p>
    <w:p>
      <w:pPr>
        <w:pStyle w:val="2Paragraph"/>
        <w:jc w:val="both"/>
        <w:rPr/>
      </w:pPr>
      <w:r>
        <w:rPr/>
      </w:r>
    </w:p>
    <w:p>
      <w:pPr>
        <w:pStyle w:val="2Paragraph"/>
        <w:numPr>
          <w:ilvl w:val="1"/>
          <w:numId w:val="1"/>
        </w:numPr>
        <w:ind w:firstLine="720" w:start="0" w:end="0"/>
        <w:jc w:val="both"/>
        <w:rPr/>
      </w:pPr>
      <w:r>
        <w:rPr/>
        <w:t xml:space="preserve">     </w:t>
      </w:r>
      <w:r>
        <w:rPr/>
        <w:t xml:space="preserve">Each of the parties hereto agrees that they shall at all times hereafter, at the request of any other party hereto, make, do and execute all such further acts, agreements, assurances and other documents and instruments as shall be reasonably required to confirm, complete, clarify or carry out the agreements and obligations in this Agreement in accordance with the intent and purpose of this Agreement, including without limitation executing such security agreements, UCC assignments, amendments or terminations and other security and perfection documents as may be reasonably requested by any other party hereto. </w:t>
      </w:r>
    </w:p>
    <w:p>
      <w:pPr>
        <w:pStyle w:val="2Paragraph"/>
        <w:jc w:val="both"/>
        <w:rPr/>
      </w:pPr>
      <w:r>
        <w:rPr/>
      </w:r>
    </w:p>
    <w:p>
      <w:pPr>
        <w:pStyle w:val="2Paragraph"/>
        <w:numPr>
          <w:ilvl w:val="1"/>
          <w:numId w:val="1"/>
        </w:numPr>
        <w:ind w:firstLine="720" w:start="0" w:end="0"/>
        <w:jc w:val="both"/>
        <w:rPr/>
      </w:pPr>
      <w:r>
        <w:rPr/>
        <w:t xml:space="preserve">     </w:t>
      </w:r>
      <w:r>
        <w:rPr/>
        <w:t>Except as specifically provide herein, nothing contained in this Agreement shall operate to vary, limit or impair any rights (a) that Enron has under the Purchase Agreement, the Warehouse and Services Agreements, the Supply Agreement, the Enron Security Agreement or any of the agreements or transactions related thereto or (b) that the Agent has under the Credit Agreement or any of the agreements or transactions related thereto.</w:t>
      </w:r>
    </w:p>
    <w:p>
      <w:pPr>
        <w:pStyle w:val="2Paragraph"/>
        <w:jc w:val="both"/>
        <w:rPr/>
      </w:pPr>
      <w:r>
        <w:rPr/>
      </w:r>
    </w:p>
    <w:p>
      <w:pPr>
        <w:pStyle w:val="2Paragraph"/>
        <w:numPr>
          <w:ilvl w:val="1"/>
          <w:numId w:val="1"/>
        </w:numPr>
        <w:ind w:firstLine="720" w:start="0" w:end="0"/>
        <w:jc w:val="both"/>
        <w:rPr/>
      </w:pPr>
      <w:r>
        <w:rPr/>
        <w:t xml:space="preserve">     </w:t>
      </w:r>
      <w:r>
        <w:rPr/>
        <w:t>Each reference to documents and agreements set forth or defined in this Agreement shall be deemed to be a reference to such document or agreement as the same is amended, modified, supplemented, renewed, extended or rearranged from time to time.</w:t>
      </w:r>
    </w:p>
    <w:p>
      <w:pPr>
        <w:pStyle w:val="2Paragraph"/>
        <w:jc w:val="both"/>
        <w:rPr/>
      </w:pPr>
      <w:r>
        <w:rPr/>
      </w:r>
    </w:p>
    <w:p>
      <w:pPr>
        <w:pStyle w:val="2Paragraph"/>
        <w:numPr>
          <w:ilvl w:val="1"/>
          <w:numId w:val="1"/>
        </w:numPr>
        <w:ind w:firstLine="720" w:start="0" w:end="0"/>
        <w:jc w:val="both"/>
        <w:rPr/>
      </w:pPr>
      <w:r>
        <w:rPr/>
        <w:t xml:space="preserve">     </w:t>
      </w:r>
      <w:r>
        <w:rPr/>
        <w:t>This Agreement shall be governed by and interpreted in accordance with the laws of the State of Texas.  This Agreement represents the complete understanding of the parties with respect to the subject matter contained herein and it cannot be changed or terminated orally.  This Agreement shall be binding upon the undersigned and their respective successors and assigns, and shall inure to the benefit of the undersigned and their respective successors, transferees and assigns.  No other person, firm, entity, or corporation shall have any right, benefit, priority or interest under or because of the existence of this Agreement.</w:t>
      </w:r>
    </w:p>
    <w:p>
      <w:pPr>
        <w:pStyle w:val="2Paragraph"/>
        <w:jc w:val="both"/>
        <w:rPr/>
      </w:pPr>
      <w:r>
        <w:rPr/>
      </w:r>
    </w:p>
    <w:p>
      <w:pPr>
        <w:pStyle w:val="2Paragraph"/>
        <w:jc w:val="center"/>
        <w:rPr/>
      </w:pPr>
      <w:r>
        <w:rPr/>
        <w:t>[remainder of page left blank]</w:t>
      </w:r>
    </w:p>
    <w:p>
      <w:pPr>
        <w:pStyle w:val="2Paragraph"/>
        <w:jc w:val="both"/>
        <w:rPr/>
      </w:pPr>
      <w:r>
        <w:rPr/>
      </w:r>
    </w:p>
    <w:p>
      <w:pPr>
        <w:sectPr>
          <w:footerReference w:type="default" r:id="rId2"/>
          <w:footerReference w:type="first" r:id="rId3"/>
          <w:type w:val="nextPage"/>
          <w:pgSz w:w="12240" w:h="15840"/>
          <w:pgMar w:left="1440" w:right="1440" w:gutter="0" w:header="0" w:top="1440" w:footer="1920" w:bottom="1976"/>
          <w:pgNumType w:fmt="decimal"/>
          <w:formProt w:val="false"/>
          <w:titlePg/>
          <w:textDirection w:val="lrTb"/>
          <w:docGrid w:type="default" w:linePitch="360" w:charSpace="0"/>
        </w:sectPr>
      </w:pPr>
    </w:p>
    <w:p>
      <w:pPr>
        <w:pStyle w:val="Normal"/>
        <w:keepNext w:val="true"/>
        <w:keepLines/>
        <w:rPr/>
      </w:pPr>
      <w:r>
        <w:rPr/>
        <w:tab/>
        <w:t>IN WITNESS WHEREOF, the parties hereto have caused this Agreement to be executed by their respective officers or agents duly authorized as of the day and year first above written.</w:t>
      </w:r>
    </w:p>
    <w:p>
      <w:pPr>
        <w:pStyle w:val="Normal"/>
        <w:keepNext w:val="true"/>
        <w:keepLines/>
        <w:rPr/>
      </w:pPr>
      <w:r>
        <w:rPr/>
      </w:r>
    </w:p>
    <w:p>
      <w:pPr>
        <w:pStyle w:val="Normal"/>
        <w:keepNext w:val="true"/>
        <w:keepLines/>
        <w:tabs>
          <w:tab w:val="clear" w:pos="720"/>
          <w:tab w:val="left" w:pos="4320" w:leader="none"/>
          <w:tab w:val="left" w:pos="5040" w:leader="none"/>
        </w:tabs>
        <w:rPr/>
      </w:pPr>
      <w:r>
        <w:rPr/>
      </w:r>
    </w:p>
    <w:p>
      <w:pPr>
        <w:pStyle w:val="Normal"/>
        <w:keepNext w:val="true"/>
        <w:keepLines/>
        <w:tabs>
          <w:tab w:val="clear" w:pos="720"/>
          <w:tab w:val="left" w:pos="4320" w:leader="none"/>
          <w:tab w:val="left" w:pos="5040" w:leader="none"/>
        </w:tabs>
        <w:rPr/>
      </w:pPr>
      <w:r>
        <w:rPr/>
        <w:tab/>
        <w:t>METALS USA, INC.</w:t>
      </w:r>
    </w:p>
    <w:p>
      <w:pPr>
        <w:pStyle w:val="Normal"/>
        <w:keepNext w:val="true"/>
        <w:keepLines/>
        <w:tabs>
          <w:tab w:val="clear" w:pos="720"/>
          <w:tab w:val="left" w:pos="4320" w:leader="none"/>
          <w:tab w:val="left" w:pos="5040" w:leader="none"/>
        </w:tabs>
        <w:rPr/>
      </w:pPr>
      <w:r>
        <w:rPr/>
      </w:r>
    </w:p>
    <w:p>
      <w:pPr>
        <w:pStyle w:val="Normal"/>
        <w:ind w:start="4320" w:end="0"/>
        <w:rPr/>
      </w:pPr>
      <w:r>
        <w:rPr/>
        <w:tab/>
      </w:r>
    </w:p>
    <w:p>
      <w:pPr>
        <w:pStyle w:val="Normal"/>
        <w:tabs>
          <w:tab w:val="clear" w:pos="720"/>
          <w:tab w:val="right" w:pos="9360" w:leader="none"/>
        </w:tabs>
        <w:ind w:start="4320" w:end="0"/>
        <w:rPr/>
      </w:pPr>
      <w:r>
        <w:rPr/>
        <w:t>By:</w:t>
      </w:r>
      <w:r>
        <w:rPr>
          <w:u w:val="single"/>
        </w:rPr>
        <w:tab/>
      </w:r>
    </w:p>
    <w:p>
      <w:pPr>
        <w:pStyle w:val="Normal"/>
        <w:tabs>
          <w:tab w:val="clear" w:pos="720"/>
          <w:tab w:val="right" w:pos="9360" w:leader="none"/>
        </w:tabs>
        <w:ind w:start="4320" w:end="0"/>
        <w:rPr/>
      </w:pPr>
      <w:r>
        <w:rPr/>
        <w:t>Name:</w:t>
      </w:r>
      <w:r>
        <w:rPr>
          <w:u w:val="single"/>
        </w:rPr>
        <w:tab/>
      </w:r>
    </w:p>
    <w:p>
      <w:pPr>
        <w:pStyle w:val="Normal"/>
        <w:keepNext w:val="true"/>
        <w:keepLines/>
        <w:tabs>
          <w:tab w:val="clear" w:pos="720"/>
          <w:tab w:val="left" w:pos="4320" w:leader="none"/>
          <w:tab w:val="left" w:pos="5040" w:leader="none"/>
        </w:tabs>
        <w:rPr/>
      </w:pPr>
      <w:r>
        <w:rPr/>
        <w:tab/>
        <w:t>Title:</w:t>
      </w:r>
      <w:r>
        <w:rPr>
          <w:u w:val="single"/>
        </w:rPr>
        <w:tab/>
        <w:tab/>
        <w:tab/>
        <w:tab/>
        <w:tab/>
        <w:tab/>
        <w:tab/>
      </w:r>
    </w:p>
    <w:p>
      <w:pPr>
        <w:pStyle w:val="Normal"/>
        <w:keepNext w:val="true"/>
        <w:keepLines/>
        <w:tabs>
          <w:tab w:val="clear" w:pos="720"/>
          <w:tab w:val="left" w:pos="4320" w:leader="none"/>
          <w:tab w:val="left" w:pos="5040" w:leader="none"/>
        </w:tabs>
        <w:rPr/>
      </w:pPr>
      <w:r>
        <w:rPr/>
      </w:r>
    </w:p>
    <w:p>
      <w:pPr>
        <w:pStyle w:val="Normal"/>
        <w:keepNext w:val="true"/>
        <w:keepLines/>
        <w:tabs>
          <w:tab w:val="clear" w:pos="720"/>
          <w:tab w:val="left" w:pos="4320" w:leader="none"/>
          <w:tab w:val="left" w:pos="5040" w:leader="none"/>
        </w:tabs>
        <w:rPr/>
      </w:pPr>
      <w:r>
        <w:rPr/>
        <w:tab/>
        <w:t>Address:</w:t>
      </w:r>
    </w:p>
    <w:p>
      <w:pPr>
        <w:pStyle w:val="Normal"/>
        <w:keepNext w:val="true"/>
        <w:keepLines/>
        <w:tabs>
          <w:tab w:val="clear" w:pos="720"/>
          <w:tab w:val="left" w:pos="4320" w:leader="none"/>
          <w:tab w:val="left" w:pos="5040" w:leader="none"/>
        </w:tabs>
        <w:rPr/>
      </w:pPr>
      <w:r>
        <w:rPr/>
      </w:r>
    </w:p>
    <w:p>
      <w:pPr>
        <w:pStyle w:val="Normal"/>
        <w:ind w:start="4320" w:end="0"/>
        <w:rPr/>
      </w:pPr>
      <w:r>
        <w:rPr/>
        <w:tab/>
      </w:r>
    </w:p>
    <w:p>
      <w:pPr>
        <w:pStyle w:val="Normal"/>
        <w:ind w:start="4320" w:end="0"/>
        <w:rPr/>
      </w:pPr>
      <w:r>
        <w:rPr>
          <w:rFonts w:cs="Times New Roman Bold" w:ascii="Times New Roman Bold" w:hAnsi="Times New Roman Bold"/>
          <w:b/>
          <w:caps/>
        </w:rPr>
        <w:t>Metals USA Flat Rolled Central, Inc.; Metals USA Carbon Flat Rolled, Inc.;</w:t>
      </w:r>
      <w:r>
        <w:rPr>
          <w:rFonts w:cs="Times New Roman Bold" w:ascii="Times New Roman Bold" w:hAnsi="Times New Roman Bold"/>
          <w:b/>
          <w:caps/>
          <w:sz w:val="22"/>
        </w:rPr>
        <w:t xml:space="preserve"> </w:t>
      </w:r>
      <w:r>
        <w:rPr>
          <w:b/>
          <w:caps/>
        </w:rPr>
        <w:t>Metals USA Plates and Shapes Southeast, Inc.; Metals USA Plates and Shapes Southeast, L.P.; Metals USA Plates and Shapes Southcentral, Inc.; Metals USA Plates and Shapes Northcentral, Inc.; Metals USA Specialty Metals Northcentral, Inc.; Metals USA Specialty Metals Northwest, Inc.</w:t>
      </w:r>
    </w:p>
    <w:p>
      <w:pPr>
        <w:pStyle w:val="Normal"/>
        <w:ind w:start="4320" w:end="0"/>
        <w:rPr>
          <w:b/>
          <w:caps/>
        </w:rPr>
      </w:pPr>
      <w:r>
        <w:rPr>
          <w:b/>
          <w:caps/>
        </w:rPr>
      </w:r>
    </w:p>
    <w:p>
      <w:pPr>
        <w:pStyle w:val="Normal"/>
        <w:ind w:start="4320" w:end="0"/>
        <w:rPr/>
      </w:pPr>
      <w:r>
        <w:rPr/>
      </w:r>
    </w:p>
    <w:p>
      <w:pPr>
        <w:pStyle w:val="Normal"/>
        <w:tabs>
          <w:tab w:val="clear" w:pos="720"/>
          <w:tab w:val="right" w:pos="9360" w:leader="none"/>
        </w:tabs>
        <w:ind w:start="4320" w:end="0"/>
        <w:rPr/>
      </w:pPr>
      <w:r>
        <w:rPr/>
        <w:t>By:</w:t>
      </w:r>
      <w:r>
        <w:rPr>
          <w:u w:val="single"/>
        </w:rPr>
        <w:tab/>
      </w:r>
    </w:p>
    <w:p>
      <w:pPr>
        <w:pStyle w:val="Normal"/>
        <w:tabs>
          <w:tab w:val="clear" w:pos="720"/>
          <w:tab w:val="right" w:pos="9360" w:leader="none"/>
        </w:tabs>
        <w:ind w:start="4320" w:end="0"/>
        <w:rPr/>
      </w:pPr>
      <w:r>
        <w:rPr/>
        <w:t>Name:</w:t>
      </w:r>
      <w:r>
        <w:rPr>
          <w:u w:val="single"/>
        </w:rPr>
        <w:tab/>
      </w:r>
    </w:p>
    <w:p>
      <w:pPr>
        <w:pStyle w:val="Normal"/>
        <w:tabs>
          <w:tab w:val="clear" w:pos="720"/>
          <w:tab w:val="right" w:pos="9360" w:leader="none"/>
        </w:tabs>
        <w:ind w:start="4320" w:end="0"/>
        <w:rPr/>
      </w:pPr>
      <w:r>
        <w:rPr/>
        <w:t>Title:</w:t>
      </w:r>
      <w:r>
        <w:rPr>
          <w:u w:val="single"/>
        </w:rPr>
        <w:tab/>
      </w:r>
    </w:p>
    <w:p>
      <w:pPr>
        <w:pStyle w:val="Normal"/>
        <w:keepNext w:val="true"/>
        <w:keepLines/>
        <w:tabs>
          <w:tab w:val="clear" w:pos="720"/>
          <w:tab w:val="left" w:pos="4320" w:leader="none"/>
          <w:tab w:val="left" w:pos="5040" w:leader="none"/>
        </w:tabs>
        <w:rPr/>
      </w:pPr>
      <w:r>
        <w:rPr/>
      </w:r>
    </w:p>
    <w:p>
      <w:pPr>
        <w:pStyle w:val="Normal"/>
        <w:keepNext w:val="true"/>
        <w:keepLines/>
        <w:tabs>
          <w:tab w:val="clear" w:pos="720"/>
          <w:tab w:val="left" w:pos="4320" w:leader="none"/>
          <w:tab w:val="left" w:pos="5040" w:leader="none"/>
        </w:tabs>
        <w:rPr/>
      </w:pPr>
      <w:r>
        <w:rPr/>
        <w:tab/>
        <w:t>Address:</w:t>
      </w:r>
    </w:p>
    <w:p>
      <w:pPr>
        <w:pStyle w:val="Normal"/>
        <w:keepNext w:val="true"/>
        <w:keepLines/>
        <w:tabs>
          <w:tab w:val="clear" w:pos="720"/>
          <w:tab w:val="left" w:pos="4320" w:leader="none"/>
          <w:tab w:val="left" w:pos="5040" w:leader="none"/>
        </w:tabs>
        <w:rPr/>
      </w:pPr>
      <w:r>
        <w:rPr/>
      </w:r>
    </w:p>
    <w:p>
      <w:pPr>
        <w:pStyle w:val="Normal"/>
        <w:keepNext w:val="true"/>
        <w:keepLines/>
        <w:tabs>
          <w:tab w:val="clear" w:pos="720"/>
          <w:tab w:val="left" w:pos="4320" w:leader="none"/>
          <w:tab w:val="left" w:pos="5040" w:leader="none"/>
        </w:tabs>
        <w:rPr/>
      </w:pPr>
      <w:r>
        <w:rPr/>
        <w:tab/>
      </w:r>
    </w:p>
    <w:p>
      <w:pPr>
        <w:pStyle w:val="Normal"/>
        <w:keepNext w:val="true"/>
        <w:keepLines/>
        <w:tabs>
          <w:tab w:val="clear" w:pos="720"/>
          <w:tab w:val="left" w:pos="4320" w:leader="none"/>
          <w:tab w:val="left" w:pos="5040" w:leader="none"/>
        </w:tabs>
        <w:rPr/>
      </w:pPr>
      <w:r>
        <w:rPr/>
        <w:tab/>
        <w:t>ENRON INDUSTRIAL MARKETS, LLC</w:t>
      </w:r>
    </w:p>
    <w:p>
      <w:pPr>
        <w:pStyle w:val="Normal"/>
        <w:keepNext w:val="true"/>
        <w:keepLines/>
        <w:tabs>
          <w:tab w:val="clear" w:pos="720"/>
          <w:tab w:val="left" w:pos="4320" w:leader="none"/>
          <w:tab w:val="left" w:pos="5040" w:leader="none"/>
        </w:tabs>
        <w:rPr/>
      </w:pPr>
      <w:r>
        <w:rPr/>
      </w:r>
    </w:p>
    <w:p>
      <w:pPr>
        <w:pStyle w:val="Normal"/>
        <w:ind w:start="4320" w:end="0"/>
        <w:rPr/>
      </w:pPr>
      <w:r>
        <w:rPr/>
        <w:tab/>
      </w:r>
    </w:p>
    <w:p>
      <w:pPr>
        <w:pStyle w:val="Normal"/>
        <w:tabs>
          <w:tab w:val="clear" w:pos="720"/>
          <w:tab w:val="right" w:pos="9360" w:leader="none"/>
        </w:tabs>
        <w:ind w:start="4320" w:end="0"/>
        <w:rPr/>
      </w:pPr>
      <w:r>
        <w:rPr/>
        <w:t>By:</w:t>
      </w:r>
      <w:r>
        <w:rPr>
          <w:u w:val="single"/>
        </w:rPr>
        <w:tab/>
      </w:r>
    </w:p>
    <w:p>
      <w:pPr>
        <w:pStyle w:val="Normal"/>
        <w:tabs>
          <w:tab w:val="clear" w:pos="720"/>
          <w:tab w:val="right" w:pos="9360" w:leader="none"/>
        </w:tabs>
        <w:ind w:start="4320" w:end="0"/>
        <w:rPr/>
      </w:pPr>
      <w:r>
        <w:rPr/>
        <w:t>Name:</w:t>
      </w:r>
      <w:r>
        <w:rPr>
          <w:u w:val="single"/>
        </w:rPr>
        <w:tab/>
      </w:r>
    </w:p>
    <w:p>
      <w:pPr>
        <w:pStyle w:val="Normal"/>
        <w:tabs>
          <w:tab w:val="clear" w:pos="720"/>
          <w:tab w:val="right" w:pos="9360" w:leader="none"/>
        </w:tabs>
        <w:ind w:start="4320" w:end="0"/>
        <w:rPr/>
      </w:pPr>
      <w:r>
        <w:rPr/>
        <w:t>Title:</w:t>
      </w:r>
      <w:r>
        <w:rPr>
          <w:u w:val="single"/>
        </w:rPr>
        <w:tab/>
      </w:r>
    </w:p>
    <w:p>
      <w:pPr>
        <w:pStyle w:val="Normal"/>
        <w:tabs>
          <w:tab w:val="clear" w:pos="720"/>
          <w:tab w:val="left" w:pos="4320" w:leader="none"/>
          <w:tab w:val="left" w:pos="5040" w:leader="none"/>
        </w:tabs>
        <w:rPr>
          <w:u w:val="single"/>
        </w:rPr>
      </w:pPr>
      <w:r>
        <w:rPr>
          <w:u w:val="single"/>
        </w:rPr>
        <w:t xml:space="preserve"> </w:t>
      </w:r>
    </w:p>
    <w:p>
      <w:pPr>
        <w:pStyle w:val="Normal"/>
        <w:tabs>
          <w:tab w:val="clear" w:pos="720"/>
          <w:tab w:val="left" w:pos="4320" w:leader="none"/>
          <w:tab w:val="left" w:pos="5040" w:leader="none"/>
        </w:tabs>
        <w:rPr/>
      </w:pPr>
      <w:r>
        <w:rPr/>
      </w:r>
    </w:p>
    <w:p>
      <w:pPr>
        <w:pStyle w:val="Normal"/>
        <w:keepLines/>
        <w:tabs>
          <w:tab w:val="clear" w:pos="720"/>
          <w:tab w:val="left" w:pos="4320" w:leader="none"/>
          <w:tab w:val="left" w:pos="5040" w:leader="none"/>
        </w:tabs>
        <w:rPr/>
      </w:pPr>
      <w:r>
        <w:rPr/>
        <w:tab/>
        <w:t>Address:</w:t>
      </w:r>
    </w:p>
    <w:p>
      <w:pPr>
        <w:pStyle w:val="Normal"/>
        <w:keepLines/>
        <w:tabs>
          <w:tab w:val="clear" w:pos="720"/>
          <w:tab w:val="left" w:pos="4320" w:leader="none"/>
          <w:tab w:val="left" w:pos="5040" w:leader="none"/>
        </w:tabs>
        <w:rPr/>
      </w:pPr>
      <w:r>
        <w:rPr/>
      </w:r>
    </w:p>
    <w:p>
      <w:pPr>
        <w:pStyle w:val="Normal"/>
        <w:tabs>
          <w:tab w:val="clear" w:pos="720"/>
          <w:tab w:val="left" w:pos="4320" w:leader="none"/>
          <w:tab w:val="left" w:pos="5040" w:leader="none"/>
        </w:tabs>
        <w:ind w:start="4320" w:end="0"/>
        <w:rPr/>
      </w:pPr>
      <w:r>
        <w:rPr/>
        <w:t>BANK ONE, N.A., individually and as Agent for the Lenders</w:t>
      </w:r>
    </w:p>
    <w:p>
      <w:pPr>
        <w:pStyle w:val="Normal"/>
        <w:tabs>
          <w:tab w:val="clear" w:pos="720"/>
          <w:tab w:val="left" w:pos="4320" w:leader="none"/>
          <w:tab w:val="left" w:pos="5040" w:leader="none"/>
        </w:tabs>
        <w:rPr/>
      </w:pPr>
      <w:r>
        <w:rPr/>
      </w:r>
    </w:p>
    <w:p>
      <w:pPr>
        <w:pStyle w:val="Normal"/>
        <w:tabs>
          <w:tab w:val="clear" w:pos="720"/>
          <w:tab w:val="left" w:pos="4320" w:leader="none"/>
          <w:tab w:val="left" w:pos="5040" w:leader="none"/>
        </w:tabs>
        <w:rPr/>
      </w:pPr>
      <w:r>
        <w:rPr/>
      </w:r>
    </w:p>
    <w:p>
      <w:pPr>
        <w:pStyle w:val="Normal"/>
        <w:tabs>
          <w:tab w:val="clear" w:pos="720"/>
          <w:tab w:val="right" w:pos="9360" w:leader="none"/>
        </w:tabs>
        <w:ind w:start="4320" w:end="0"/>
        <w:rPr/>
      </w:pPr>
      <w:r>
        <w:rPr/>
        <w:t>By:</w:t>
      </w:r>
      <w:r>
        <w:rPr>
          <w:u w:val="single"/>
        </w:rPr>
        <w:tab/>
      </w:r>
    </w:p>
    <w:p>
      <w:pPr>
        <w:pStyle w:val="Normal"/>
        <w:tabs>
          <w:tab w:val="clear" w:pos="720"/>
          <w:tab w:val="right" w:pos="9360" w:leader="none"/>
        </w:tabs>
        <w:ind w:start="4320" w:end="0"/>
        <w:rPr/>
      </w:pPr>
      <w:r>
        <w:rPr/>
        <w:t>Name:</w:t>
      </w:r>
      <w:r>
        <w:rPr>
          <w:u w:val="single"/>
        </w:rPr>
        <w:tab/>
      </w:r>
    </w:p>
    <w:p>
      <w:pPr>
        <w:pStyle w:val="Normal"/>
        <w:tabs>
          <w:tab w:val="clear" w:pos="720"/>
          <w:tab w:val="right" w:pos="9360" w:leader="none"/>
        </w:tabs>
        <w:ind w:start="4320" w:end="0"/>
        <w:rPr/>
      </w:pPr>
      <w:r>
        <w:rPr/>
        <w:t>Title:</w:t>
      </w:r>
      <w:r>
        <w:rPr>
          <w:u w:val="single"/>
        </w:rPr>
        <w:tab/>
      </w:r>
    </w:p>
    <w:p>
      <w:pPr>
        <w:pStyle w:val="Normal"/>
        <w:tabs>
          <w:tab w:val="clear" w:pos="720"/>
          <w:tab w:val="left" w:pos="4320" w:leader="none"/>
          <w:tab w:val="left" w:pos="5040" w:leader="none"/>
        </w:tabs>
        <w:rPr>
          <w:u w:val="single"/>
        </w:rPr>
      </w:pPr>
      <w:r>
        <w:rPr>
          <w:u w:val="single"/>
        </w:rPr>
        <w:t xml:space="preserve"> </w:t>
      </w:r>
    </w:p>
    <w:p>
      <w:pPr>
        <w:pStyle w:val="Normal"/>
        <w:tabs>
          <w:tab w:val="clear" w:pos="720"/>
          <w:tab w:val="left" w:pos="4320" w:leader="none"/>
          <w:tab w:val="left" w:pos="5040" w:leader="none"/>
        </w:tabs>
        <w:rPr/>
      </w:pPr>
      <w:r>
        <w:rPr/>
      </w:r>
    </w:p>
    <w:p>
      <w:pPr>
        <w:pStyle w:val="Normal"/>
        <w:tabs>
          <w:tab w:val="clear" w:pos="720"/>
          <w:tab w:val="left" w:pos="4320" w:leader="none"/>
          <w:tab w:val="left" w:pos="5040" w:leader="none"/>
        </w:tabs>
        <w:rPr/>
      </w:pPr>
      <w:r>
        <w:rPr/>
        <w:tab/>
        <w:t>Address:</w:t>
      </w:r>
    </w:p>
    <w:p>
      <w:pPr>
        <w:pStyle w:val="Normal"/>
        <w:tabs>
          <w:tab w:val="clear" w:pos="720"/>
          <w:tab w:val="left" w:pos="4320" w:leader="none"/>
          <w:tab w:val="left" w:pos="5040" w:leader="none"/>
        </w:tabs>
        <w:rPr/>
      </w:pPr>
      <w:r>
        <w:rPr/>
        <w:tab/>
      </w:r>
    </w:p>
    <w:p>
      <w:pPr>
        <w:pStyle w:val="Normal"/>
        <w:keepNext w:val="true"/>
        <w:tabs>
          <w:tab w:val="clear" w:pos="720"/>
          <w:tab w:val="left" w:pos="4320" w:leader="none"/>
          <w:tab w:val="left" w:pos="5040" w:leader="none"/>
        </w:tabs>
        <w:ind w:start="4320" w:end="0"/>
        <w:rPr/>
      </w:pPr>
      <w:r>
        <w:rPr/>
        <w:t>[CONFIRM THAT OTHER LENDERS PARTY TO CREDIT AGREEMENT HAVE AUTHORIZED BANK ONE TO EXECUTE THIS AGREEMENT]</w:t>
        <w:tab/>
      </w:r>
    </w:p>
    <w:p>
      <w:pPr>
        <w:pStyle w:val="Normal"/>
        <w:keepNext w:val="true"/>
        <w:tabs>
          <w:tab w:val="clear" w:pos="720"/>
          <w:tab w:val="left" w:pos="4320" w:leader="none"/>
          <w:tab w:val="left" w:pos="5040" w:leader="none"/>
        </w:tabs>
        <w:rPr/>
      </w:pPr>
      <w:r>
        <w:rPr/>
      </w:r>
    </w:p>
    <w:p>
      <w:pPr>
        <w:pStyle w:val="Normal"/>
        <w:keepNext w:val="true"/>
        <w:tabs>
          <w:tab w:val="clear" w:pos="720"/>
          <w:tab w:val="left" w:pos="4320" w:leader="none"/>
          <w:tab w:val="left" w:pos="5040" w:leader="none"/>
        </w:tabs>
        <w:rPr>
          <w:sz w:val="16"/>
        </w:rPr>
      </w:pPr>
      <w:r>
        <w:rPr>
          <w:sz w:val="16"/>
        </w:rPr>
        <w:fldChar w:fldCharType="begin"/>
      </w:r>
      <w:r>
        <w:rPr>
          <w:sz w:val="16"/>
        </w:rPr>
        <w:instrText xml:space="preserve"> FILENAME </w:instrText>
      </w:r>
      <w:r>
        <w:rPr>
          <w:sz w:val="16"/>
        </w:rPr>
        <w:fldChar w:fldCharType="separate"/>
      </w:r>
      <w:r>
        <w:rPr>
          <w:sz w:val="16"/>
        </w:rPr>
        <w:t>intercreditor126.doc</w:t>
      </w:r>
      <w:r>
        <w:rPr>
          <w:sz w:val="16"/>
        </w:rPr>
        <w:fldChar w:fldCharType="end"/>
      </w:r>
    </w:p>
    <w:sectPr>
      <w:type w:val="continuous"/>
      <w:pgSz w:w="12240" w:h="15840"/>
      <w:pgMar w:left="1440" w:right="1440" w:gutter="0" w:header="0" w:top="1440" w:footer="1920" w:bottom="19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fldChar w:fldCharType="begin"/>
    </w:r>
    <w:r>
      <w:rPr/>
      <w:instrText xml:space="preserve"> PAGE \* ARABIC </w:instrText>
    </w:r>
    <w:r>
      <w:rPr/>
      <w:fldChar w:fldCharType="separate"/>
    </w:r>
    <w:r>
      <w:rPr/>
      <w:t>5</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0" w:hanging="0"/>
      </w:pPr>
    </w:lvl>
    <w:lvl w:ilvl="1">
      <w:start w:val="1"/>
      <w:numFmt w:val="decimal"/>
      <w:lvlText w:val="%2."/>
      <w:lvlJc w:val="start"/>
      <w:pPr>
        <w:tabs>
          <w:tab w:val="num" w:pos="720"/>
        </w:tabs>
        <w:ind w:start="0" w:hanging="0"/>
      </w:pPr>
    </w:lvl>
    <w:lvl w:ilvl="2">
      <w:start w:val="1"/>
      <w:numFmt w:val="lowerLetter"/>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jc w:val="start"/>
    </w:pPr>
    <w:rPr>
      <w:sz w:val="22"/>
    </w:rPr>
  </w:style>
  <w:style w:type="paragraph" w:styleId="CommentText">
    <w:name w:val="Comment Text"/>
    <w:basedOn w:val="Normal"/>
    <w:qFormat/>
    <w:pPr>
      <w:jc w:val="start"/>
    </w:pPr>
    <w:rPr>
      <w:sz w:val="22"/>
    </w:rPr>
  </w:style>
  <w:style w:type="paragraph" w:styleId="1Paragraph">
    <w:name w:val="1Paragraph"/>
    <w:qFormat/>
    <w:pPr>
      <w:widowControl/>
      <w:bidi w:val="0"/>
    </w:pPr>
    <w:rPr>
      <w:rFonts w:ascii="Times New Roman" w:hAnsi="Times New Roman" w:eastAsia="Times New Roman" w:cs="Times New Roman"/>
      <w:color w:val="auto"/>
      <w:sz w:val="24"/>
      <w:szCs w:val="20"/>
      <w:lang w:val="en-US" w:eastAsia="en-US" w:bidi="hi-IN"/>
    </w:rPr>
  </w:style>
  <w:style w:type="paragraph" w:styleId="2Paragraph">
    <w:name w:val="2Paragraph"/>
    <w:qFormat/>
    <w:pPr>
      <w:widowControl/>
      <w:bidi w:val="0"/>
    </w:pPr>
    <w:rPr>
      <w:rFonts w:ascii="Times New Roman" w:hAnsi="Times New Roman" w:eastAsia="Times New Roman" w:cs="Times New Roman"/>
      <w:color w:val="auto"/>
      <w:sz w:val="24"/>
      <w:szCs w:val="20"/>
      <w:lang w:val="en-US" w:eastAsia="en-US" w:bidi="hi-IN"/>
    </w:rPr>
  </w:style>
  <w:style w:type="paragraph" w:styleId="3Paragraph">
    <w:name w:val="3Paragraph"/>
    <w:qFormat/>
    <w:pPr>
      <w:widowControl/>
      <w:bidi w:val="0"/>
    </w:pPr>
    <w:rPr>
      <w:rFonts w:ascii="Times New Roman" w:hAnsi="Times New Roman" w:eastAsia="Times New Roman" w:cs="Times New Roman"/>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2001-01-26T22:24:00Z</dcterms:created>
  <dc:creator>Bracewell &amp; Patterson, L.L.P.</dc:creator>
  <dc:description/>
  <dc:language>en-CA</dc:language>
  <cp:lastModifiedBy>Bracewell &amp; Patterson, L.L.P.</cp:lastModifiedBy>
  <cp:lastPrinted>2001-01-25T11:25:00Z</cp:lastPrinted>
  <dcterms:modified xsi:type="dcterms:W3CDTF">2001-01-26T22:24:00Z</dcterms:modified>
  <cp:revision>2</cp:revision>
  <dc:subject/>
  <dc:title> </dc:title>
</cp:coreProperties>
</file>