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AT THE BAYPORT PLANT</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_____ day of May, 1999, by and between, Celanese Ltd. a Texas limited partnership, ("Celanese"), and Houston Pipe Line Company, a Delaware corporation, ("HPL").  (Celanese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Celanese owns and operates an industrial production facility and related facilities located in Texas (the “Celanese Plant”);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Celanese and HPL desire to connect the Celanese Plant to the HPL Pipeline at or near </w:t>
      </w:r>
      <w:r>
        <w:rPr>
          <w:rFonts w:cs="Arial Narrow" w:ascii="Arial Narrow" w:hAnsi="Arial Narrow"/>
          <w:color w:val="FF0000"/>
          <w:sz w:val="18"/>
          <w:u w:val="single"/>
        </w:rPr>
        <w:t>Celanese's Clear Lake Plant</w:t>
      </w:r>
      <w:r>
        <w:rPr>
          <w:rFonts w:cs="Arial Narrow" w:ascii="Arial Narrow" w:hAnsi="Arial Narrow"/>
          <w:sz w:val="18"/>
        </w:rPr>
        <w:t>, in Harris County, Texas (the “Interconnect”).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approximately 1500 ft. of 10” pipeline, </w:t>
      </w:r>
      <w:r>
        <w:rPr>
          <w:rFonts w:cs="Arial Narrow" w:ascii="Arial Narrow" w:hAnsi="Arial Narrow"/>
          <w:color w:val="FF0000"/>
          <w:sz w:val="18"/>
          <w:u w:val="single"/>
        </w:rPr>
        <w:t>2-8” Orifice Meters</w:t>
      </w:r>
      <w:r>
        <w:rPr>
          <w:rFonts w:cs="Arial Narrow" w:ascii="Arial Narrow" w:hAnsi="Arial Narrow"/>
          <w:sz w:val="18"/>
        </w:rPr>
        <w:t>, Redundant Flow/Pressure Control Regulation, EFM, SCADA, and related pipeline facilities required for the physical delivery of natural gas from HPL Pipeline to the Celanese Plant (the “New Facilities”).  The layout of the Interconnect shall be as set forth on Exhibit “A” attached hereto and shall consist of the Celanese Facilities and the HPL Facilities, as defined below.</w:t>
      </w:r>
    </w:p>
    <w:p>
      <w:pPr>
        <w:pStyle w:val="Heading2"/>
        <w:widowControl/>
        <w:rPr/>
      </w:pPr>
      <w:r>
        <w:rPr>
          <w:rFonts w:cs="Arial Narrow" w:ascii="Arial Narrow" w:hAnsi="Arial Narrow"/>
          <w:sz w:val="18"/>
        </w:rPr>
        <w:tab/>
        <w:t>(i)</w:t>
        <w:tab/>
      </w:r>
      <w:r>
        <w:rPr>
          <w:rFonts w:cs="Arial Narrow" w:ascii="Arial Narrow" w:hAnsi="Arial Narrow"/>
          <w:sz w:val="18"/>
          <w:u w:val="single"/>
        </w:rPr>
        <w:t>Celanese Ownership</w:t>
      </w:r>
      <w:r>
        <w:rPr>
          <w:rFonts w:cs="Arial Narrow" w:ascii="Arial Narrow" w:hAnsi="Arial Narrow"/>
          <w:sz w:val="18"/>
        </w:rPr>
        <w:t>. Except as specifically detailed in Section 5(iii), Celanese shall own that portion of the Interconnect located on Celanese’s side of the flange designated as the point of custody transfer as defined in Section 5(i) below and shall include pipelines and pipeline related facilities required for the physical delivery of natural gas from HPL Pipeline to the Celanese Plant (the “Celanese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Except as specifically detailed in Section 5(iii), HPL shall own that portion of the Interconnect located on HPL’s side of the flange designated as the point of custody transfer as specified above, and shall consist of approximately 1500 ft. of 10” pipeline</w:t>
      </w:r>
      <w:r>
        <w:rPr>
          <w:rFonts w:cs="Arial Narrow" w:ascii="Arial Narrow" w:hAnsi="Arial Narrow"/>
          <w:color w:val="FF0000"/>
          <w:sz w:val="18"/>
          <w:u w:val="single"/>
        </w:rPr>
        <w:t>, 2-8” Orifice Meters</w:t>
      </w:r>
      <w:r>
        <w:rPr>
          <w:rFonts w:cs="Arial Narrow" w:ascii="Arial Narrow" w:hAnsi="Arial Narrow"/>
          <w:sz w:val="18"/>
        </w:rPr>
        <w:t>, Redundant Flow/Pressure Control Regulation, EFM, SCADA, and related pipeline facilities and related materials and facilities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Interconnect shall be designed and constructed in accordance with Engineering Standards as adopted by Enron Operations Corp., as the same may be amended or supplemented from time to time (the “Standards”).  HPL shall submit any design specifications, design drawings, and construction procedures to Celanese for review and approval.  Celanese shall complete their review within fifteen (15) days of their receipt thereof, and Celanese’s approval of such drawings shall not be unreasonably withheld.  The HPL Facilities shall be installed and constructed by HPL.  All construction activities performed by HPL shall comply with all policies and procedures of the Celanese Plant, which HPL has been provided copies of prior to construction.   The Celanese Facilities shall be installed and constructed by Celanese.  The Parties shall arrange a mutually agreeable schedule for the tie-in of the Interconnect with the HPL Pipeline and the Celanese Plant.</w:t>
      </w:r>
    </w:p>
    <w:p>
      <w:pPr>
        <w:pStyle w:val="Heading2"/>
        <w:widowControl/>
        <w:rPr/>
      </w:pPr>
      <w:r>
        <w:rPr>
          <w:rFonts w:cs="Arial Narrow" w:ascii="Arial Narrow" w:hAnsi="Arial Narrow"/>
          <w:sz w:val="18"/>
        </w:rPr>
        <w:t>3.</w:t>
        <w:tab/>
      </w:r>
      <w:r>
        <w:rPr>
          <w:rFonts w:cs="Arial Narrow" w:ascii="Arial Narrow" w:hAnsi="Arial Narrow"/>
          <w:sz w:val="18"/>
          <w:u w:val="single"/>
        </w:rPr>
        <w:t>Costs</w:t>
      </w:r>
      <w:r>
        <w:rPr>
          <w:rFonts w:cs="Arial Narrow" w:ascii="Arial Narrow" w:hAnsi="Arial Narrow"/>
          <w:sz w:val="18"/>
        </w:rPr>
        <w:t xml:space="preserve">.  HPL shall be responsible for all direct and indirect costs incurred by HPL in constructing and installing the HPL Facilities (the “HPL Installation Costs”).  Celanese shall be responsible for all direct and indirect costs incurred by Celanese in constructing and installing the Celanese Facilities up to $10,000 (the “Celanese Installation Costs”).  Any costs incurred by Celanese in constructing and installing the Celanese Facilities, in excess of $10,000, shall be paid by HPL.  HPL shall have the right to review all supporting invoices, documentation, or other information for any direct or indirect costs incurred by Celanese in constructing and installing the Celanese Facilities which are in excess of $10,000 prior to reimbursement of Celanese for such costs.  The HPL and Celanese Installation Costs shall include, but not be limited to, material/supply costs, legal costs, permitting costs, inspection costs, applicable taxes and overhead cost, labor costs and labor loadings (which includes, but is not limited to, fringe benefits and payroll taxes). </w:t>
      </w:r>
    </w:p>
    <w:p>
      <w:pPr>
        <w:pStyle w:val="Heading2"/>
        <w:widowControl/>
        <w:rPr/>
      </w:pPr>
      <w:r>
        <w:rPr>
          <w:rFonts w:cs="Arial Narrow" w:ascii="Arial Narrow" w:hAnsi="Arial Narrow"/>
          <w:sz w:val="18"/>
        </w:rPr>
        <w:t>4.</w:t>
        <w:tab/>
      </w:r>
      <w:r>
        <w:rPr>
          <w:rFonts w:cs="Arial Narrow" w:ascii="Arial Narrow" w:hAnsi="Arial Narrow"/>
          <w:sz w:val="18"/>
          <w:u w:val="single"/>
        </w:rPr>
        <w:t>Surface Site</w:t>
      </w:r>
      <w:r>
        <w:rPr>
          <w:rFonts w:cs="Arial Narrow" w:ascii="Arial Narrow" w:hAnsi="Arial Narrow"/>
          <w:sz w:val="18"/>
        </w:rPr>
        <w:t xml:space="preserve">. Celanese shall grant to HPL all easements, rights of ingress and egress, and other land rights that may be needed for construction, operation, and ownership of such portions of the Interconnect located within the Celanese plant limits.  HPL and/or its designee shall have access to the Interconnect at all times.  No obligation of HPL shall arise hereunder prior to the delivery by Celanese of one executed original title document evidencing the grant of such surface and easement rights to HPL.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the HPL Facilities in accordance with the Standards and with sound and prudent natural gas pipeline industry practice and shall be fully responsible for the operation and maintenance thereof and for all cost, expense and risk associated therewith.  Celanese shall operate the Celanese Facilities in accordance with the Standards and with sound and prudent natural gas pipeline and shall be fully responsible for the operation and maintenance thereof and for all cost, expense and risk associated herewith.  Celanese shall provide reasonable power and telephone service for operation of the HPL’s EFM.</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downstream of the downstream block valves located on the regulation runs between the HPL Facilities and the Celanese facilities as depicted on Exhibit “A” attached hereto.</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Celanese shall at all times have the right to refuse delivery of gas not meeting the quality standards set forth in the Standards or in any applicable transportation agreement.  Operation of the HPL Facilities shall include operation of the meter facilities (the “HPL Meter”).  Celanese may request, at approximately monthly intervals, that HPL verify the accuracy of the HPL Meter.  The HPL Meter shall be used to measure gas custody transfer.</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b/>
          <w:sz w:val="18"/>
          <w:u w:val="single"/>
        </w:rPr>
        <w:t>.</w:t>
      </w:r>
      <w:r>
        <w:rPr>
          <w:rFonts w:cs="Arial Narrow" w:ascii="Arial Narrow" w:hAnsi="Arial Narrow"/>
          <w:sz w:val="18"/>
        </w:rPr>
        <w:t xml:space="preserve"> Celanese shall operate the flow control portion of the HPL Facilities to ensure that gas deliveries are equal to nominations, plus or minus tolerances generally acceptable in the intrastate natural gas pipeline industry.  Celanese’s gas control department shall immediately notify HPL by telephone of all interruptions of service. Notwithstanding any of the above, HPL shall own that portion of the flow control equipment installed by HPL (e.g., control valve and positioner) and shall maintain that portion of the HPL Facilities in accordance with the Standards and with sound and prudent natural gas pipeline industry practice and shall be fully responsible for the operation and maintenance thereof and for all cost, expense and risk associated therewith.  Celanese shall own that portion of the flow control equipment installed by Celanese (e.g., current to pressure transducers and related equipment) which provide Celanese with the ability to control the flow and shall maintain that portion of the Celanese Facilities in accordance with the Standards and with sound and prudent natural gas pipeline industry practice and shall be fully responsible for the operation and maintenance thereof and for all cost, expense and risk associated therewith.</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The existing gas chromatograph installed on HPL’s 12” (4079) pipeline that will supply natural gas to the HPL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operate the HPL Facilities at a pressure that is sufficient to deliver gas into the Celanese Plant, but which does not exceed the maximum allowable operating pressure (in psig) allowed by regulation thereof (the “MAOP”).  The Celanese Facilities shall include over pressure protection (“OPP”) equipment which shall be set at a pressure not to exceed the MAOP of the Celanese Plant, as it may be modified from time to time. Celanese shall inspect and test the OPP devices on an annual basis.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Celanese Plant,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continuously for longer than one (1) calendar year, any Party may terminate this agreement upon ninety (90) days written notice to the other Party.  </w:t>
      </w:r>
    </w:p>
    <w:p>
      <w:pPr>
        <w:pStyle w:val="Normal"/>
        <w:ind w:firstLine="720" w:end="0"/>
        <w:jc w:val="both"/>
        <w:rPr/>
      </w:pPr>
      <w:r>
        <w:rPr>
          <w:rFonts w:cs="Arial Narrow" w:ascii="Arial Narrow" w:hAnsi="Arial Narrow"/>
          <w:caps/>
          <w:sz w:val="18"/>
        </w:rPr>
        <w:t>10.</w:t>
        <w:tab/>
      </w:r>
      <w:r>
        <w:rPr>
          <w:rFonts w:cs="Arial Narrow" w:ascii="Arial Narrow" w:hAnsi="Arial Narrow"/>
          <w:sz w:val="18"/>
          <w:u w:val="single"/>
        </w:rPr>
        <w:t>INDEMNITY AND SUBROGATION</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ind w:firstLine="1440" w:end="0"/>
        <w:jc w:val="both"/>
        <w:rPr/>
      </w:pPr>
      <w:r>
        <w:rPr>
          <w:rFonts w:cs="Arial Narrow" w:ascii="Arial Narrow" w:hAnsi="Arial Narrow"/>
          <w:sz w:val="18"/>
        </w:rPr>
        <w:t xml:space="preserve">(i)  </w:t>
      </w:r>
      <w:r>
        <w:rPr>
          <w:rFonts w:cs="Arial Narrow" w:ascii="Arial Narrow" w:hAnsi="Arial Narrow"/>
          <w:sz w:val="18"/>
          <w:u w:val="single"/>
        </w:rPr>
        <w:t>Idemnity</w:t>
      </w:r>
      <w:r>
        <w:rPr>
          <w:rFonts w:cs="Arial Narrow" w:ascii="Arial Narrow" w:hAnsi="Arial Narrow"/>
          <w:sz w:val="18"/>
        </w:rPr>
        <w:t xml:space="preserve">.  </w:t>
      </w:r>
      <w:r>
        <w:rPr>
          <w:rFonts w:cs="Arial Narrow" w:ascii="Arial Narrow" w:hAnsi="Arial Narrow"/>
          <w:b/>
          <w:caps/>
          <w:sz w:val="18"/>
        </w:rPr>
        <w:t>HPL agrees to indemnify, defend and hold harmless Celanese and its respective parents and other affiliates, successors, assigns, legal representatives, officers, directors, shareholders, agents and employees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(collectively the "</w:t>
      </w:r>
      <w:r>
        <w:rPr>
          <w:rFonts w:cs="Arial Narrow" w:ascii="Arial Narrow" w:hAnsi="Arial Narrow"/>
          <w:b/>
          <w:caps/>
          <w:sz w:val="18"/>
          <w:u w:val="single"/>
        </w:rPr>
        <w:t>Claims</w:t>
      </w:r>
      <w:r>
        <w:rPr>
          <w:rFonts w:cs="Arial Narrow" w:ascii="Arial Narrow" w:hAnsi="Arial Narrow"/>
          <w:b/>
          <w:caps/>
          <w:sz w:val="18"/>
        </w:rPr>
        <w:t>") caused by, arising out of, or in any way incident to, in connection with, or related to (i) the breach by HPL (or any of HPL’s employees, agents, representatives, contractors or subcontractors) (collectively the "</w:t>
      </w:r>
      <w:r>
        <w:rPr>
          <w:rFonts w:cs="Arial Narrow" w:ascii="Arial Narrow" w:hAnsi="Arial Narrow"/>
          <w:b/>
          <w:caps/>
          <w:sz w:val="18"/>
          <w:u w:val="single"/>
        </w:rPr>
        <w:t>HPL Parties</w:t>
      </w:r>
      <w:r>
        <w:rPr>
          <w:rFonts w:cs="Arial Narrow" w:ascii="Arial Narrow" w:hAnsi="Arial Narrow"/>
          <w:b/>
          <w:caps/>
          <w:sz w:val="18"/>
        </w:rPr>
        <w:t>") of any portion of HPL’s obligations, covenants, representations, or warranties contained in this Agreement, or (ii) any act or omission by the HPL Parties with regard to this Agreement or any activities conducted by HPL Parties pursuant to this Agreement, except to the extent caused by the negligent or willful misconduct of the Celanese parties.  Celanese agrees to indemnify, defend and hold harmless the HPL and its respective parents and other affiliates, successors, assigns, legal representatives, officers, directors, shareholders, agents and employees from and against all Claims (including, without limitation, claims resulting from Celanese’s operation of the flow control portion of the HPL Facilities) caused by, arising out of, or in any way incident to, in connection with, or related to (i) the breach by Celanese (or any of Celanese’s employees, agents, representatives, contractors or subcontractors) (collectively the "</w:t>
      </w:r>
      <w:r>
        <w:rPr>
          <w:rFonts w:cs="Arial Narrow" w:ascii="Arial Narrow" w:hAnsi="Arial Narrow"/>
          <w:b/>
          <w:caps/>
          <w:sz w:val="18"/>
          <w:u w:val="single"/>
        </w:rPr>
        <w:t>Celanese Parties</w:t>
      </w:r>
      <w:r>
        <w:rPr>
          <w:rFonts w:cs="Arial Narrow" w:ascii="Arial Narrow" w:hAnsi="Arial Narrow"/>
          <w:b/>
          <w:caps/>
          <w:sz w:val="18"/>
        </w:rPr>
        <w:t>") of any portion of Celanese’s obligations, covenants, representations, or warranties contained in this Agreement, or (ii) any act or omission by the Celanese Parties with regard to this Agreement or any activities conducted by Celanese Parties pursuant to this Agreement, except to the extent caused by the negligent or willful misconduct of the HPL parties.</w:t>
      </w:r>
    </w:p>
    <w:p>
      <w:pPr>
        <w:pStyle w:val="Normal"/>
        <w:jc w:val="both"/>
        <w:rPr>
          <w:rFonts w:ascii="Arial Narrow" w:hAnsi="Arial Narrow" w:cs="Arial Narrow"/>
          <w:b/>
          <w:caps/>
          <w:sz w:val="18"/>
        </w:rPr>
      </w:pPr>
      <w:r>
        <w:rPr>
          <w:rFonts w:cs="Arial Narrow" w:ascii="Arial Narrow" w:hAnsi="Arial Narrow"/>
          <w:b/>
          <w:caps/>
          <w:sz w:val="18"/>
        </w:rPr>
      </w:r>
    </w:p>
    <w:p>
      <w:pPr>
        <w:pStyle w:val="Normal"/>
        <w:ind w:firstLine="1440" w:end="0"/>
        <w:jc w:val="both"/>
        <w:rPr/>
      </w:pPr>
      <w:r>
        <w:rPr>
          <w:rFonts w:cs="Arial Narrow" w:ascii="Arial Narrow" w:hAnsi="Arial Narrow"/>
          <w:sz w:val="18"/>
        </w:rPr>
        <w:t xml:space="preserve">(ii)  </w:t>
      </w:r>
      <w:r>
        <w:rPr>
          <w:rFonts w:cs="Arial Narrow" w:ascii="Arial Narrow" w:hAnsi="Arial Narrow"/>
          <w:sz w:val="18"/>
          <w:u w:val="single"/>
        </w:rPr>
        <w:t>Subrogation</w:t>
      </w:r>
      <w:r>
        <w:rPr>
          <w:rFonts w:cs="Arial Narrow" w:ascii="Arial Narrow" w:hAnsi="Arial Narrow"/>
          <w:sz w:val="18"/>
        </w:rPr>
        <w:t>.  Each Party agrees to be adequately self-insured and/or carry insurance in the amounts necessary to cover its obligations hereunder.  Celanese and HPL each waives any claim it might have against the other for any loss to the extent the same is insured against under any insurance policy that covers their respective facilities, Celanese's or HPL's fixtures, personal property, leasehold improvements, or business, regardless of whether the negligence of the other party caused such loss.  Each party shall cause its insurance carrier to endorse all applicable policies waiving the carrier's rights of recovery under subrogation or otherwise against the other party.</w:t>
      </w:r>
    </w:p>
    <w:p>
      <w:pPr>
        <w:pStyle w:val="Heading2"/>
        <w:widowControl/>
        <w:rPr>
          <w:rFonts w:ascii="Arial Narrow" w:hAnsi="Arial Narrow" w:cs="Arial Narrow"/>
          <w:b/>
          <w:sz w:val="18"/>
        </w:rPr>
      </w:pPr>
      <w:r>
        <w:rPr>
          <w:rFonts w:cs="Arial Narrow" w:ascii="Arial Narrow" w:hAnsi="Arial Narrow"/>
          <w:b/>
          <w:sz w:val="18"/>
        </w:rPr>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Celanese:</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Celanese Ltd.</w:t>
        <w:tab/>
        <w:tab/>
        <w:t>.</w:t>
      </w:r>
    </w:p>
    <w:p>
      <w:pPr>
        <w:pStyle w:val="Normal"/>
        <w:widowControl/>
        <w:rPr>
          <w:rFonts w:ascii="Arial Narrow" w:hAnsi="Arial Narrow" w:cs="Arial Narrow"/>
          <w:sz w:val="18"/>
        </w:rPr>
      </w:pPr>
      <w:r>
        <w:rPr>
          <w:rFonts w:cs="Arial Narrow" w:ascii="Arial Narrow" w:hAnsi="Arial Narrow"/>
          <w:sz w:val="18"/>
        </w:rPr>
        <w:t>1400 Smith St.</w:t>
        <w:tab/>
        <w:tab/>
        <w:tab/>
        <w:t>1601 W. LBJ Freeway</w:t>
      </w:r>
    </w:p>
    <w:p>
      <w:pPr>
        <w:pStyle w:val="Normal"/>
        <w:widowControl/>
        <w:rPr>
          <w:rFonts w:ascii="Arial Narrow" w:hAnsi="Arial Narrow" w:cs="Arial Narrow"/>
          <w:sz w:val="18"/>
        </w:rPr>
      </w:pPr>
      <w:r>
        <w:rPr>
          <w:rFonts w:cs="Arial Narrow" w:ascii="Arial Narrow" w:hAnsi="Arial Narrow"/>
          <w:sz w:val="18"/>
        </w:rPr>
        <w:t>Houston, Texas 77002-7361</w:t>
        <w:tab/>
        <w:tab/>
        <w:t>P.O. Box 819005</w:t>
      </w:r>
    </w:p>
    <w:p>
      <w:pPr>
        <w:pStyle w:val="Normal"/>
        <w:widowControl/>
        <w:rPr>
          <w:rFonts w:ascii="Arial Narrow" w:hAnsi="Arial Narrow" w:cs="Arial Narrow"/>
          <w:sz w:val="18"/>
        </w:rPr>
      </w:pPr>
      <w:r>
        <w:rPr>
          <w:rFonts w:cs="Arial Narrow" w:ascii="Arial Narrow" w:hAnsi="Arial Narrow"/>
          <w:sz w:val="18"/>
        </w:rPr>
        <w:t>Attention:  Natural Gas Assets</w:t>
        <w:tab/>
        <w:tab/>
        <w:t>Dallas, Texas 75381-9005</w:t>
      </w:r>
    </w:p>
    <w:p>
      <w:pPr>
        <w:pStyle w:val="Normal"/>
        <w:widowControl/>
        <w:rPr>
          <w:rFonts w:ascii="Arial Narrow" w:hAnsi="Arial Narrow" w:cs="Arial Narrow"/>
          <w:sz w:val="18"/>
        </w:rPr>
      </w:pPr>
      <w:r>
        <w:rPr>
          <w:rFonts w:cs="Arial Narrow" w:ascii="Arial Narrow" w:hAnsi="Arial Narrow"/>
          <w:sz w:val="18"/>
        </w:rPr>
        <w:t>Facsimile Number:  (713) 646-8416</w:t>
        <w:tab/>
        <w:t>Attention:  Paul Zoeller</w:t>
      </w:r>
    </w:p>
    <w:p>
      <w:pPr>
        <w:pStyle w:val="Normal"/>
        <w:widowControl/>
        <w:rPr>
          <w:rFonts w:ascii="Arial Narrow" w:hAnsi="Arial Narrow" w:cs="Arial Narrow"/>
          <w:sz w:val="18"/>
        </w:rPr>
      </w:pPr>
      <w:r>
        <w:rPr>
          <w:rFonts w:cs="Arial Narrow" w:ascii="Arial Narrow" w:hAnsi="Arial Narrow"/>
          <w:sz w:val="18"/>
        </w:rPr>
        <w:tab/>
        <w:tab/>
        <w:tab/>
        <w:tab/>
        <w:t>Facsimile : (972) 443-8575</w:t>
      </w:r>
    </w:p>
    <w:p>
      <w:pPr>
        <w:pStyle w:val="Normal"/>
        <w:widowControl/>
        <w:rPr>
          <w:rFonts w:ascii="Arial Narrow" w:hAnsi="Arial Narrow" w:cs="Arial Narrow"/>
          <w:sz w:val="18"/>
        </w:rPr>
      </w:pPr>
      <w:r>
        <w:rPr>
          <w:rFonts w:cs="Arial Narrow" w:ascii="Arial Narrow" w:hAnsi="Arial Narrow"/>
          <w:sz w:val="18"/>
        </w:rPr>
        <w:tab/>
        <w:tab/>
        <w:tab/>
        <w:tab/>
        <w:t>Telephone: (972) 443-3878</w:t>
      </w:r>
    </w:p>
    <w:p>
      <w:pPr>
        <w:pStyle w:val="Normal"/>
        <w:widowControl/>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Pearland Team</w:t>
        <w:tab/>
        <w:tab/>
        <w:tab/>
        <w:t>Celanese Ltd.</w:t>
      </w:r>
    </w:p>
    <w:p>
      <w:pPr>
        <w:pStyle w:val="Normal"/>
        <w:widowControl/>
        <w:rPr>
          <w:rFonts w:ascii="Arial Narrow" w:hAnsi="Arial Narrow" w:cs="Arial Narrow"/>
          <w:sz w:val="18"/>
        </w:rPr>
      </w:pPr>
      <w:r>
        <w:rPr>
          <w:rFonts w:cs="Arial Narrow" w:ascii="Arial Narrow" w:hAnsi="Arial Narrow"/>
          <w:sz w:val="18"/>
        </w:rPr>
        <w:t>(713) 853-6006</w:t>
        <w:tab/>
        <w:tab/>
        <w:tab/>
        <w:t>P.O. Box 58190</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Houston, Texas 77258</w:t>
      </w:r>
    </w:p>
    <w:p>
      <w:pPr>
        <w:pStyle w:val="Normal"/>
        <w:widowControl/>
        <w:rPr>
          <w:rFonts w:ascii="Arial Narrow" w:hAnsi="Arial Narrow" w:cs="Arial Narrow"/>
          <w:sz w:val="18"/>
        </w:rPr>
      </w:pPr>
      <w:r>
        <w:rPr>
          <w:rFonts w:cs="Arial Narrow" w:ascii="Arial Narrow" w:hAnsi="Arial Narrow"/>
          <w:sz w:val="18"/>
        </w:rPr>
        <w:tab/>
        <w:tab/>
        <w:tab/>
        <w:tab/>
        <w:t>Attn: Plant Manager</w:t>
      </w:r>
    </w:p>
    <w:p>
      <w:pPr>
        <w:pStyle w:val="Normal"/>
        <w:widowControl/>
        <w:rPr>
          <w:rFonts w:ascii="Arial Narrow" w:hAnsi="Arial Narrow" w:cs="Arial Narrow"/>
          <w:sz w:val="18"/>
        </w:rPr>
      </w:pPr>
      <w:r>
        <w:rPr>
          <w:rFonts w:cs="Arial Narrow" w:ascii="Arial Narrow" w:hAnsi="Arial Narrow"/>
          <w:sz w:val="18"/>
        </w:rPr>
        <w:tab/>
        <w:tab/>
        <w:tab/>
        <w:tab/>
        <w:t>Facsimile: (281) 474-6291</w:t>
      </w:r>
    </w:p>
    <w:p>
      <w:pPr>
        <w:pStyle w:val="Normal"/>
        <w:widowControl/>
        <w:rPr>
          <w:rFonts w:ascii="Arial Narrow" w:hAnsi="Arial Narrow" w:cs="Arial Narrow"/>
          <w:sz w:val="18"/>
        </w:rPr>
      </w:pPr>
      <w:r>
        <w:rPr>
          <w:rFonts w:cs="Arial Narrow" w:ascii="Arial Narrow" w:hAnsi="Arial Narrow"/>
          <w:sz w:val="18"/>
        </w:rPr>
        <w:tab/>
        <w:tab/>
        <w:tab/>
        <w:tab/>
        <w:t>Telephone: (281) 474-6200</w:t>
      </w:r>
    </w:p>
    <w:p>
      <w:pPr>
        <w:pStyle w:val="Normal"/>
        <w:widowControl/>
        <w:rPr>
          <w:rFonts w:ascii="Arial Narrow" w:hAnsi="Arial Narrow" w:cs="Arial Narrow"/>
          <w:sz w:val="18"/>
        </w:rPr>
      </w:pPr>
      <w:r>
        <w:rPr>
          <w:rFonts w:cs="Arial Narrow" w:ascii="Arial Narrow" w:hAnsi="Arial Narrow"/>
          <w:sz w:val="18"/>
        </w:rPr>
        <w:tab/>
        <w:tab/>
        <w:tab/>
        <w:tab/>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Heading2"/>
        <w:widowControl/>
        <w:rPr/>
      </w:pPr>
      <w:r>
        <w:rPr>
          <w:rFonts w:cs="Arial Narrow" w:ascii="Arial Narrow" w:hAnsi="Arial Narrow"/>
          <w:sz w:val="18"/>
        </w:rPr>
        <w:t>14.</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provided that, a Party may sell, assign or transfer all of its interest in this Agreement to an affiliate under the condition that such transfer shall not relieve the transferring Party of its obligations under this Agreement.  Any sale, assignment or transfer in violation of the foregoing provisions shall be void.</w:t>
      </w:r>
    </w:p>
    <w:p>
      <w:pPr>
        <w:pStyle w:val="Heading2"/>
        <w:widowControl/>
        <w:rPr/>
      </w:pPr>
      <w:r>
        <w:rPr>
          <w:rFonts w:cs="Arial Narrow" w:ascii="Arial Narrow" w:hAnsi="Arial Narrow"/>
          <w:sz w:val="18"/>
        </w:rPr>
        <w:t>15.</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16.</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17.</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CELANESE LTD.</w:t>
        <w:tab/>
        <w:tab/>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Name:  Douglas N. Gordan</w:t>
        <w:tab/>
        <w:tab/>
        <w:tab/>
        <w:tab/>
        <w:tab/>
        <w:t>Name:  Stephen C. Schneider</w:t>
      </w:r>
    </w:p>
    <w:p>
      <w:pPr>
        <w:pStyle w:val="Normal"/>
        <w:widowControl/>
        <w:jc w:val="both"/>
        <w:rPr>
          <w:rFonts w:ascii="Arial Narrow" w:hAnsi="Arial Narrow" w:cs="Arial Narrow"/>
          <w:sz w:val="18"/>
          <w:u w:val="single"/>
        </w:rPr>
      </w:pPr>
      <w:r>
        <w:rPr>
          <w:rFonts w:cs="Arial Narrow" w:ascii="Arial Narrow" w:hAnsi="Arial Narrow"/>
          <w:sz w:val="18"/>
        </w:rPr>
        <w:t>Title:    Vice President and Assistant Secretary</w:t>
        <w:tab/>
        <w:tab/>
        <w:tab/>
        <w:t>Title:  Vice President</w:t>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rStyle w:val="PageNumber"/>
        <w:sz w:val="24"/>
      </w:rPr>
    </w:pPr>
    <w:r>
      <w:rPr>
        <w:rFonts w:cs="Arial Narrow" w:ascii="Arial Narrow" w:hAnsi="Arial Narrow"/>
        <w:sz w:val="14"/>
        <w:lang w:eastAsia="en-US"/>
      </w:rPr>
      <w:fldChar w:fldCharType="begin"/>
    </w:r>
    <w:r>
      <w:rPr>
        <w:sz w:val="14"/>
        <w:rFonts w:cs="Arial Narrow" w:ascii="Arial Narrow" w:hAnsi="Arial Narrow"/>
        <w:lang w:eastAsia="en-US"/>
      </w:rPr>
      <w:instrText xml:space="preserve"> FILENAME \p </w:instrText>
    </w:r>
    <w:r>
      <w:rPr>
        <w:sz w:val="14"/>
        <w:rFonts w:cs="Arial Narrow" w:ascii="Arial Narrow" w:hAnsi="Arial Narrow"/>
        <w:lang w:eastAsia="en-US"/>
      </w:rPr>
      <w:fldChar w:fldCharType="separate"/>
    </w:r>
    <w:r>
      <w:rPr>
        <w:sz w:val="14"/>
        <w:rFonts w:cs="Arial Narrow" w:ascii="Arial Narrow" w:hAnsi="Arial Narrow"/>
        <w:lang w:eastAsia="en-US"/>
      </w:rPr>
      <w:t>/mnt/main-storage/datasets/enron-docs/doc/interconnect_agreement2RED.doc</w:t>
    </w:r>
    <w:r>
      <w:rPr>
        <w:sz w:val="14"/>
        <w:rFonts w:cs="Arial Narrow" w:ascii="Arial Narrow" w:hAnsi="Arial Narrow"/>
        <w:lang w:eastAsia="en-US"/>
      </w:rPr>
      <w:fldChar w:fldCharType="end"/>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1999-06-22T19:16:00Z</dcterms:created>
  <dc:creator>ECT</dc:creator>
  <dc:description/>
  <dc:language>en-CA</dc:language>
  <cp:lastModifiedBy>gnemec</cp:lastModifiedBy>
  <cp:lastPrinted>1999-06-22T15:56:00Z</cp:lastPrinted>
  <dcterms:modified xsi:type="dcterms:W3CDTF">1999-06-22T19:16:00Z</dcterms:modified>
  <cp:revision>2</cp:revision>
  <dc:subject/>
  <dc:title>Letter format</dc:title>
</cp:coreProperties>
</file>