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t>MEMO</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t>FROM: JAY DUDLEY</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t>TO: MARY HAIN AND CHRISTI NICOLAY</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t>DATE: MARCH 18, 2001</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t>COMMENTS ON INTERCONNECTION SUGGESTIONS:</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color w:val="000000"/>
        </w:rPr>
        <w:t xml:space="preserve">Mary, Christi, thanks for looking at the draft interconnection procedures.  Below, in bold, are responses to your suggestions.  Let us know if this will work for you.  This is an awkward discussion to conduct in writing as some of my responses will likely misconstrue the issues that concern you.  </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color w:val="000000"/>
        </w:rPr>
        <w:t xml:space="preserve">I’m out next week so please reply to Michelle Farrell at 503-464-7371.  She is in charge of getting the Interconnection Procedures filed and will coordinate comments from our transmission group.  </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b/>
          <w:color w:val="000000"/>
        </w:rPr>
        <w:t xml:space="preserve">From: </w:t>
        <w:tab/>
      </w:r>
      <w:hyperlink r:id="rId2">
        <w:r>
          <w:rPr>
            <w:rStyle w:val="Hyperlink"/>
          </w:rPr>
          <w:t>Mary.Hain@enron.com</w:t>
        </w:r>
      </w:hyperlink>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Times New Roman" w:ascii="Times New Roman" w:hAnsi="Times New Roman"/>
          <w:b/>
          <w:color w:val="000000"/>
        </w:rPr>
        <w:t>To:</w:t>
        <w:tab/>
      </w:r>
      <w:r>
        <w:rPr>
          <w:rFonts w:cs="Times New Roman" w:ascii="Times New Roman" w:hAnsi="Times New Roman"/>
          <w:color w:val="000000"/>
        </w:rPr>
        <w:t>HQ3.EM5(Jay Dudley)</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Times New Roman" w:ascii="Times New Roman" w:hAnsi="Times New Roman"/>
          <w:b/>
          <w:color w:val="000000"/>
        </w:rPr>
        <w:t xml:space="preserve">Date: </w:t>
        <w:tab/>
      </w:r>
      <w:r>
        <w:rPr>
          <w:rFonts w:cs="Times New Roman" w:ascii="Times New Roman" w:hAnsi="Times New Roman"/>
          <w:color w:val="000000"/>
        </w:rPr>
        <w:t>3/15/01 4:28PM</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pPr>
      <w:r>
        <w:rPr>
          <w:rFonts w:cs="Times New Roman" w:ascii="Times New Roman" w:hAnsi="Times New Roman"/>
          <w:b/>
          <w:color w:val="000000"/>
        </w:rPr>
        <w:t xml:space="preserve">Subject: </w:t>
        <w:tab/>
      </w:r>
      <w:r>
        <w:rPr>
          <w:rFonts w:cs="Times New Roman" w:ascii="Times New Roman" w:hAnsi="Times New Roman"/>
          <w:color w:val="000000"/>
        </w:rPr>
        <w:t>Re: Draft interconnection procedure</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color w:val="000000"/>
        </w:rPr>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1.  As I mentioned over the phone, the general provisions of your tariff should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be modified so that they apply to generator interconnection  (e.g., the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dispute resolution provision of the tariff currently only applies to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"Transmission Service" not interconnection service)  Although I haven't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done a detailed review of PGE's tariff I noted similar concerns about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Sections 6, 7.3, and 11.  Also "transmission service" should be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capitalized.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Good idea.  I suggest adding a section 8.0 to the procedure to clarify that an Interconnection Customer is a transmission customer for the purposes of those sections.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numPr>
          <w:ilvl w:val="0"/>
          <w:numId w:val="2"/>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Other Tariff  Provisions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b/>
          <w:color w:val="000000"/>
        </w:rPr>
        <w:t xml:space="preserve">Sections 6 (Reciprocity), 7 (Billing and Payment), 9 (Regulatory Filings), 11 (Creditworthiness) and 12 (Dispute Resolution Procedures) shall apply to an Interconnection Customer as though it were Transmission Customer under the Tariff.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Some Other suggestions: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2.  Preamble </w:t>
        <w:noBreakHyphen/>
        <w:t xml:space="preserve"> Sentence three </w:t>
        <w:noBreakHyphen/>
        <w:t xml:space="preserve"> delete: "[t]hese Interconnection Procedures do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not provide for transmission service on the Transmission System."  Insert: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"These Interconnection Procedures apply only to the receipt point portion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of Transmission Service on the Transmission System."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I’d prefer no change here.  The sentence confirms that all Transmission Service must be obtained formally under other parts of the Tariff.  Deleting it may create misunderstands with some developers who have made prior requests for interconnection to PGE.   The  suggested addition may be confusing because it suggests an Interconnection Customer may gain some rights over a receipt point inconsistent with the provisions of the Tariff.</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3.  Sentence four </w:t>
        <w:noBreakHyphen/>
        <w:t xml:space="preserve"> delete "of the Transmission System"  Parts II and III are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defined terms.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I can’t find the reference on my version.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4.  Section 2.2 </w:t>
        <w:noBreakHyphen/>
        <w:t xml:space="preserve"> Under this provision, if the Interconnection Customer makes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changes to the information supporting its interconnection request that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"materially affect its interconnection" it can lose its place in the queue.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Given how much discretion this gives PGE, "materially affect" should be 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defined term or have a standard for its application.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I’d like to keep this language as it gives the Transmission Provider flexibility to deal with the issue.   Attempting to set standards will have its own difficulties.  The term is frequently used in commercial contracts (“material adverse effect”) and as a result has a generally accepted meaning.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5.  Section 3.1: Revise the last sentence as follows "The Interconnection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Customer must execute, complete, and return  . . .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Good suggestion.  Michele, please put this in.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6.  Further PGE should add a provision indicating that if its merchant function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desires interconnection that it should have to follow the interconnection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procedures.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This limitation is in the second sentence of the Preamble.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7.  Section 3.4 This section should be amended to require that the short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circuit and stability study take into consideration higher queued projects.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 xml:space="preserve">Good suggestion.  At the end of the first sentence of Section 3.3 Michelle please add, “… including facilities planned to be installed by higher-queued Interconnection Customers.”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8.  Section 3.4(iii): Power flow studies are only necessary for transmission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service not just for interconnection.   Accordingly, Section (iii) should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be changed to have the information studied for the customer's information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only or to say that it is not related to the interconnection queue.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I think we need to keep this as written.  My understanding of the engineering is that power flow studies must be made and Network Upgrades (if necessary) must be installed or the interconnection is a futile act – the power is produced but has no place to go and could burn up the system.   You are right that power flow studies are necessary for transmission but the Interconnection procedures take this into account and protects the Interconnection Customer by giving  it a transferable credit applied to any transmission service it uses on the Transmission Providers system.  See Section 7.3.</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9.  Section 4.1 </w:t>
        <w:noBreakHyphen/>
        <w:t xml:space="preserve"> When does the customer's responsibility to respond to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higher</w:t>
        <w:noBreakHyphen/>
        <w:t>queued projects end?  Does this extend the 60</w:t>
        <w:noBreakHyphen/>
        <w:t>day period every time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it happens?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 xml:space="preserve">I’m not sure of the reference to 60 days, but this provision requires the Interconnection customer to fund additional studies if needed due to a higher queued customer dropping out.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Section 4.4</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10.    In sentence two </w:t>
        <w:noBreakHyphen/>
        <w:t xml:space="preserve"> Delete "Network Upgrade necessary to remove overloads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and"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 xml:space="preserve">I think this is the same issues as # 8 above.  This is the definition of Interconnection Facilities and confirms that Network Upgrades to remove overloads (and we’ve added “voltage problems”) will be part of the payment responsibility of the Interconnection Customer.  However the Customer will receive a credit, as provided in Sec 7.3.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11.   Work the following definitions into Section 4.4:</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Interconnection Facilities means the local equipment necessary to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connect the plant to the point of interconnection including increasing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the capacity of an existing local transmission line(s) to loop the lines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into the plant in the case where the capacity of the line is less than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the capacity of the generating plant under good utility practice.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Network Upgrades mean modifications beyond Interconnection Facilities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required for safe and reliable connection of the generating plant to the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utility system.  They do not include transmission changes required to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deliver power beyond the point of interconnection.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I think the existing language accomplishes the intent of this change.  See # 8 and # 10 above.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12.   In sentence three delete: modifications or additions to the Transmission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Provider's transmission lines and substations and add "Network</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Upgrades."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I think the existing language works ok. The existing language is broader than “Network Upgrades” as defined in Sec 1.26 of the Tariff.   This sentence is intended to describe the facilities that the Facilities Study will study and should be broad to assure all impacts of the interconnection are reviewed.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Proof</w:t>
        <w:noBreakHyphen/>
        <w:t>read and correct section numbers.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Will do.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From: Christi Nicolay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To:   Mary Hain/HOU/ECT@ECT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cc:   James D Steffes/NA/Enron@Enron, Jay_dudley@pgn.com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Subject:  Re: Draft interconnection procedure  (Document link: Mary Hain)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Comments: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14.    2.3     Delete last sentence.  If Enron is already in the queue (or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considered in a queue) before a TP's interconnection procedures are filed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at FERC, we don't want to have to resubmit something within 15 days in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order to remain in the queue.  I don't think this is necessary and all are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protected because pre</w:t>
        <w:noBreakHyphen/>
        <w:t>existing requests will be posted on OASIS on the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queue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We should keep this sentence in or PGE may have serious procedural problems with customers with pre-existing requests.  The “something” to submit is modest.  Furthermore, without the new procedures, there is no provision for posting pre-existing requests on OASIS.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15.    4.3   Enron has argued for 60 days consistent with the OATT times (lost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unfortunately).  It may look odd for PGE to ask for 90 days.  PGE is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protected because if it legitimately takes longer than 60 days, you send 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notification.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We should keep the 90 days.  See the e-mail responses included with this memo.  With current resources PGE cannot meet a 60 day response time even with outside contractors performing studies.  Our bottleneck is the limited number of qualified internal PGE people to manage outside contractors and to review and approve the outside contractor studies.  Customer relations will be strained if we hardwire a promise we know we cannot keep.</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6    ((I realize that this language was included in CP&amp;L, but recommend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these changes for PGE.)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16.   6.1  Add after "as modified by the Commission" "if Customer chooses to</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commence construction."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As I understand it, this change suggests that the Customer is bound to an unsigned Facility Interconnection and Operation Agreement (FIOA) (which the Transmission Provider files with FERC) only if the Customer chooses to commence construction.  First, this creates a timing problem.  To meet milestones for the project, the Transmission Provider may need to begin steps (acquiring easements, ordering equipment, etc) before the customer chooses to commence construction.  Second, this is a matter best included in the FIOA itself.  I suggest we not make the change in the procedure and assure protections for the Interconnection Customer in the FIOA which PGE will offer as a standard matter to our customers.  From my discussions with Mary, we recognize we need further Enron/PGE discussions on the FIOA.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17.  6.2   Modify last sentence </w:t>
        <w:noBreakHyphen/>
        <w:noBreakHyphen/>
        <w:t xml:space="preserve"> The Agreement will provide milestones toward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placing the generator in service that the Interconnection Customer must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make reasonable progress toward or it will lose its queue priority (after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notification and opportunity to remedy.)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Good Suggestion.  Michele, please put this in.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Thanks.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Same!</w:t>
      </w:r>
    </w:p>
    <w:p>
      <w:pPr>
        <w:pStyle w:val="Normal"/>
        <w:rPr>
          <w:rFonts w:ascii="Times New Roman" w:hAnsi="Times New Roman" w:cs="Times New Roman"/>
          <w:b/>
          <w:color w:val="000000"/>
        </w:rPr>
      </w:pPr>
      <w:r>
        <w:rPr>
          <w:rFonts w:cs="Times New Roman"/>
          <w:b/>
          <w:color w:val="000000"/>
        </w:rPr>
      </w:r>
    </w:p>
    <w:sectPr>
      <w:footerReference w:type="default" r:id="rId3"/>
      <w:type w:val="nextPage"/>
      <w:pgSz w:w="12147"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8.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0"/>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3"/>
      <w:numFmt w:val="decimal"/>
      <w:lvlText w:val="%1."/>
      <w:lvlJc w:val="start"/>
      <w:pPr>
        <w:tabs>
          <w:tab w:val="num" w:pos="420"/>
        </w:tabs>
        <w:ind w:start="420" w:hanging="4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Normal"/>
    <w:qFormat/>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y.Hain@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2001-03-18T18:25:00Z</dcterms:created>
  <dc:creator>Jay Dudley</dc:creator>
  <dc:description/>
  <dc:language>en-CA</dc:language>
  <cp:lastModifiedBy>Jay Dudley</cp:lastModifiedBy>
  <dcterms:modified xsi:type="dcterms:W3CDTF">2001-03-18T20:35:00Z</dcterms:modified>
  <cp:revision>3</cp:revision>
  <dc:subject/>
  <dc:title>MEMO</dc:title>
</cp:coreProperties>
</file>