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6120" w:leader="none"/>
          <w:tab w:val="right" w:pos="9360" w:leader="none"/>
        </w:tabs>
        <w:rPr/>
      </w:pPr>
      <w:r>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716915" cy="703580"/>
                    </a:xfrm>
                    <a:prstGeom prst="rect">
                      <a:avLst/>
                    </a:prstGeom>
                    <a:noFill/>
                  </pic:spPr>
                </pic:pic>
              </a:graphicData>
            </a:graphic>
          </wp:inline>
        </w:drawing>
      </w:r>
    </w:p>
    <w:p>
      <w:pPr>
        <w:pStyle w:val="Normal"/>
        <w:widowControl/>
        <w:tabs>
          <w:tab w:val="clear" w:pos="720"/>
          <w:tab w:val="right" w:pos="6120" w:leader="none"/>
          <w:tab w:val="right" w:pos="9360" w:leader="none"/>
        </w:tabs>
        <w:rPr/>
      </w:pPr>
      <w:r>
        <w:rPr/>
      </w:r>
    </w:p>
    <w:tbl>
      <w:tblPr>
        <w:tblW w:w="8460" w:type="dxa"/>
        <w:jc w:val="start"/>
        <w:tblInd w:w="108" w:type="dxa"/>
        <w:tblLayout w:type="fixed"/>
        <w:tblCellMar>
          <w:top w:w="0" w:type="dxa"/>
          <w:start w:w="108" w:type="dxa"/>
          <w:bottom w:w="0" w:type="dxa"/>
          <w:end w:w="108" w:type="dxa"/>
        </w:tblCellMar>
      </w:tblPr>
      <w:tblGrid>
        <w:gridCol w:w="1170"/>
        <w:gridCol w:w="3870"/>
        <w:gridCol w:w="900"/>
        <w:gridCol w:w="307"/>
        <w:gridCol w:w="514"/>
        <w:gridCol w:w="1699"/>
      </w:tblGrid>
      <w:tr>
        <w:trPr>
          <w:trHeight w:val="315" w:hRule="atLeast"/>
        </w:trPr>
        <w:tc>
          <w:tcPr>
            <w:tcW w:w="1170" w:type="dxa"/>
            <w:tcBorders/>
          </w:tcPr>
          <w:p>
            <w:pPr>
              <w:pStyle w:val="Normal"/>
              <w:widowControl/>
              <w:ind w:start="-108" w:end="0"/>
              <w:rPr>
                <w:b/>
                <w:sz w:val="24"/>
              </w:rPr>
            </w:pPr>
            <w:r>
              <w:rPr>
                <w:b/>
                <w:sz w:val="24"/>
              </w:rPr>
              <w:t>To:</w:t>
            </w:r>
          </w:p>
        </w:tc>
        <w:tc>
          <w:tcPr>
            <w:tcW w:w="3870" w:type="dxa"/>
            <w:tcBorders/>
          </w:tcPr>
          <w:p>
            <w:pPr>
              <w:pStyle w:val="To"/>
              <w:widowControl/>
              <w:rPr>
                <w:rFonts w:ascii="Times New Roman" w:hAnsi="Times New Roman" w:cs="Times New Roman"/>
                <w:sz w:val="24"/>
              </w:rPr>
            </w:pPr>
            <w:r>
              <w:rPr>
                <w:rFonts w:cs="Times New Roman" w:ascii="Times New Roman" w:hAnsi="Times New Roman"/>
                <w:sz w:val="24"/>
              </w:rPr>
              <w:t>Distribution</w:t>
            </w:r>
          </w:p>
        </w:tc>
        <w:tc>
          <w:tcPr>
            <w:tcW w:w="1721" w:type="dxa"/>
            <w:gridSpan w:val="3"/>
            <w:tcBorders/>
          </w:tcPr>
          <w:p>
            <w:pPr>
              <w:pStyle w:val="Normal"/>
              <w:widowControl/>
              <w:snapToGrid w:val="false"/>
              <w:ind w:start="72" w:end="0"/>
              <w:rPr>
                <w:rFonts w:ascii="Times New Roman" w:hAnsi="Times New Roman" w:cs="Times New Roman"/>
                <w:sz w:val="24"/>
              </w:rPr>
            </w:pPr>
            <w:r>
              <w:rPr>
                <w:rFonts w:cs="Times New Roman"/>
                <w:sz w:val="24"/>
              </w:rPr>
            </w:r>
          </w:p>
        </w:tc>
        <w:tc>
          <w:tcPr>
            <w:tcW w:w="1699" w:type="dxa"/>
            <w:tcBorders/>
          </w:tcPr>
          <w:p>
            <w:pPr>
              <w:pStyle w:val="Normal"/>
              <w:widowControl/>
              <w:snapToGrid w:val="false"/>
              <w:rPr>
                <w:b/>
                <w:sz w:val="24"/>
              </w:rPr>
            </w:pPr>
            <w:r>
              <w:rPr>
                <w:b/>
                <w:sz w:val="24"/>
              </w:rPr>
            </w:r>
          </w:p>
        </w:tc>
      </w:tr>
      <w:tr>
        <w:trPr>
          <w:trHeight w:val="269" w:hRule="exact"/>
        </w:trPr>
        <w:tc>
          <w:tcPr>
            <w:tcW w:w="1170" w:type="dxa"/>
            <w:tcBorders/>
          </w:tcPr>
          <w:p>
            <w:pPr>
              <w:pStyle w:val="Normal"/>
              <w:widowControl/>
              <w:snapToGrid w:val="false"/>
              <w:ind w:start="-108" w:end="0"/>
              <w:rPr>
                <w:b/>
                <w:sz w:val="24"/>
              </w:rPr>
            </w:pPr>
            <w:r>
              <w:rPr>
                <w:b/>
                <w:sz w:val="24"/>
              </w:rPr>
            </w:r>
          </w:p>
        </w:tc>
        <w:tc>
          <w:tcPr>
            <w:tcW w:w="3870" w:type="dxa"/>
            <w:tcBorders/>
          </w:tcPr>
          <w:p>
            <w:pPr>
              <w:pStyle w:val="Normal"/>
              <w:widowControl/>
              <w:snapToGrid w:val="false"/>
              <w:rPr>
                <w:b/>
                <w:sz w:val="24"/>
              </w:rPr>
            </w:pPr>
            <w:r>
              <w:rPr>
                <w:b/>
                <w:sz w:val="24"/>
              </w:rPr>
            </w:r>
          </w:p>
        </w:tc>
        <w:tc>
          <w:tcPr>
            <w:tcW w:w="1721" w:type="dxa"/>
            <w:gridSpan w:val="3"/>
            <w:tcBorders/>
          </w:tcPr>
          <w:p>
            <w:pPr>
              <w:pStyle w:val="Normal"/>
              <w:widowControl/>
              <w:snapToGrid w:val="false"/>
              <w:ind w:start="-180" w:end="0"/>
              <w:rPr>
                <w:b/>
                <w:sz w:val="24"/>
              </w:rPr>
            </w:pPr>
            <w:r>
              <w:rPr>
                <w:b/>
                <w:sz w:val="24"/>
              </w:rPr>
            </w:r>
          </w:p>
        </w:tc>
        <w:tc>
          <w:tcPr>
            <w:tcW w:w="1699" w:type="dxa"/>
            <w:tcBorders/>
          </w:tcPr>
          <w:p>
            <w:pPr>
              <w:pStyle w:val="Normal"/>
              <w:widowControl/>
              <w:snapToGrid w:val="false"/>
              <w:rPr>
                <w:b/>
                <w:sz w:val="24"/>
              </w:rPr>
            </w:pPr>
            <w:r>
              <w:rPr>
                <w:b/>
                <w:sz w:val="24"/>
              </w:rPr>
            </w:r>
          </w:p>
        </w:tc>
      </w:tr>
      <w:tr>
        <w:trPr>
          <w:trHeight w:val="300" w:hRule="exact"/>
        </w:trPr>
        <w:tc>
          <w:tcPr>
            <w:tcW w:w="1170" w:type="dxa"/>
            <w:tcBorders/>
          </w:tcPr>
          <w:p>
            <w:pPr>
              <w:pStyle w:val="Normal"/>
              <w:widowControl/>
              <w:ind w:start="-108" w:end="0"/>
              <w:rPr>
                <w:b/>
                <w:sz w:val="24"/>
              </w:rPr>
            </w:pPr>
            <w:r>
              <w:rPr>
                <w:b/>
                <w:sz w:val="24"/>
              </w:rPr>
              <w:t>From:</w:t>
            </w:r>
          </w:p>
        </w:tc>
        <w:tc>
          <w:tcPr>
            <w:tcW w:w="3870" w:type="dxa"/>
            <w:tcBorders/>
          </w:tcPr>
          <w:p>
            <w:pPr>
              <w:pStyle w:val="From"/>
              <w:widowControl/>
              <w:rPr>
                <w:rFonts w:ascii="Times New Roman" w:hAnsi="Times New Roman" w:cs="Times New Roman"/>
                <w:sz w:val="24"/>
              </w:rPr>
            </w:pPr>
            <w:r>
              <w:rPr>
                <w:rFonts w:cs="Times New Roman" w:ascii="Times New Roman" w:hAnsi="Times New Roman"/>
                <w:sz w:val="24"/>
              </w:rPr>
              <w:t>Shelley Corman</w:t>
            </w:r>
          </w:p>
        </w:tc>
        <w:tc>
          <w:tcPr>
            <w:tcW w:w="1207" w:type="dxa"/>
            <w:gridSpan w:val="2"/>
            <w:tcBorders/>
          </w:tcPr>
          <w:p>
            <w:pPr>
              <w:pStyle w:val="Normal"/>
              <w:widowControl/>
              <w:snapToGrid w:val="false"/>
              <w:ind w:start="-180" w:end="0"/>
              <w:jc w:val="end"/>
              <w:rPr>
                <w:rFonts w:ascii="Times New Roman" w:hAnsi="Times New Roman" w:cs="Times New Roman"/>
                <w:b/>
                <w:sz w:val="24"/>
              </w:rPr>
            </w:pPr>
            <w:r>
              <w:rPr>
                <w:rFonts w:cs="Times New Roman"/>
                <w:b/>
                <w:sz w:val="24"/>
              </w:rPr>
            </w:r>
          </w:p>
        </w:tc>
        <w:tc>
          <w:tcPr>
            <w:tcW w:w="2213" w:type="dxa"/>
            <w:gridSpan w:val="2"/>
            <w:tcBorders/>
          </w:tcPr>
          <w:p>
            <w:pPr>
              <w:pStyle w:val="Department"/>
              <w:widowControl/>
              <w:snapToGrid w:val="false"/>
              <w:rPr>
                <w:rFonts w:ascii="Times New Roman" w:hAnsi="Times New Roman" w:cs="Times New Roman"/>
                <w:b/>
                <w:sz w:val="24"/>
              </w:rPr>
            </w:pPr>
            <w:r>
              <w:rPr>
                <w:rFonts w:cs="Times New Roman" w:ascii="Times New Roman" w:hAnsi="Times New Roman"/>
                <w:b/>
                <w:sz w:val="24"/>
              </w:rPr>
            </w:r>
            <w:bookmarkStart w:id="0" w:name="From"/>
            <w:bookmarkStart w:id="1" w:name="From"/>
            <w:bookmarkEnd w:id="1"/>
          </w:p>
        </w:tc>
      </w:tr>
      <w:tr>
        <w:trPr>
          <w:trHeight w:val="216" w:hRule="exact"/>
        </w:trPr>
        <w:tc>
          <w:tcPr>
            <w:tcW w:w="1170" w:type="dxa"/>
            <w:tcBorders/>
          </w:tcPr>
          <w:p>
            <w:pPr>
              <w:pStyle w:val="Normal"/>
              <w:widowControl/>
              <w:snapToGrid w:val="false"/>
              <w:ind w:start="-108" w:end="0"/>
              <w:rPr>
                <w:rFonts w:ascii="Times New Roman" w:hAnsi="Times New Roman" w:cs="Times New Roman"/>
                <w:b/>
                <w:sz w:val="24"/>
              </w:rPr>
            </w:pPr>
            <w:r>
              <w:rPr>
                <w:rFonts w:cs="Times New Roman"/>
                <w:b/>
                <w:sz w:val="24"/>
              </w:rPr>
            </w:r>
          </w:p>
        </w:tc>
        <w:tc>
          <w:tcPr>
            <w:tcW w:w="3870" w:type="dxa"/>
            <w:tcBorders/>
          </w:tcPr>
          <w:p>
            <w:pPr>
              <w:pStyle w:val="Normal"/>
              <w:widowControl/>
              <w:snapToGrid w:val="false"/>
              <w:rPr>
                <w:b/>
                <w:sz w:val="24"/>
              </w:rPr>
            </w:pPr>
            <w:r>
              <w:rPr>
                <w:b/>
                <w:sz w:val="24"/>
              </w:rPr>
            </w:r>
          </w:p>
        </w:tc>
        <w:tc>
          <w:tcPr>
            <w:tcW w:w="1721" w:type="dxa"/>
            <w:gridSpan w:val="3"/>
            <w:tcBorders/>
          </w:tcPr>
          <w:p>
            <w:pPr>
              <w:pStyle w:val="Normal"/>
              <w:widowControl/>
              <w:tabs>
                <w:tab w:val="clear" w:pos="720"/>
                <w:tab w:val="left" w:pos="-108" w:leader="none"/>
              </w:tabs>
              <w:snapToGrid w:val="false"/>
              <w:ind w:start="-180" w:end="0"/>
              <w:rPr>
                <w:b/>
                <w:sz w:val="24"/>
              </w:rPr>
            </w:pPr>
            <w:r>
              <w:rPr>
                <w:b/>
                <w:sz w:val="24"/>
              </w:rPr>
            </w:r>
          </w:p>
        </w:tc>
        <w:tc>
          <w:tcPr>
            <w:tcW w:w="1699" w:type="dxa"/>
            <w:tcBorders/>
          </w:tcPr>
          <w:p>
            <w:pPr>
              <w:pStyle w:val="Normal"/>
              <w:widowControl/>
              <w:snapToGrid w:val="false"/>
              <w:rPr>
                <w:b/>
                <w:sz w:val="24"/>
              </w:rPr>
            </w:pPr>
            <w:r>
              <w:rPr>
                <w:b/>
                <w:sz w:val="24"/>
              </w:rPr>
            </w:r>
          </w:p>
        </w:tc>
      </w:tr>
      <w:tr>
        <w:trPr/>
        <w:tc>
          <w:tcPr>
            <w:tcW w:w="1170" w:type="dxa"/>
            <w:tcBorders/>
          </w:tcPr>
          <w:p>
            <w:pPr>
              <w:pStyle w:val="Normal"/>
              <w:widowControl/>
              <w:ind w:start="-108" w:end="0"/>
              <w:rPr>
                <w:b/>
                <w:sz w:val="24"/>
              </w:rPr>
            </w:pPr>
            <w:r>
              <w:rPr>
                <w:b/>
                <w:sz w:val="24"/>
              </w:rPr>
              <w:t>Subject:</w:t>
            </w:r>
          </w:p>
        </w:tc>
        <w:tc>
          <w:tcPr>
            <w:tcW w:w="3870" w:type="dxa"/>
            <w:tcBorders/>
          </w:tcPr>
          <w:p>
            <w:pPr>
              <w:pStyle w:val="Subject"/>
              <w:widowControl/>
              <w:rPr>
                <w:rFonts w:ascii="Times New Roman" w:hAnsi="Times New Roman" w:cs="Times New Roman"/>
                <w:b/>
                <w:sz w:val="24"/>
              </w:rPr>
            </w:pPr>
            <w:r>
              <w:rPr>
                <w:rFonts w:cs="Times New Roman" w:ascii="Times New Roman" w:hAnsi="Times New Roman"/>
                <w:b/>
                <w:sz w:val="24"/>
              </w:rPr>
              <w:t>FERC’s New Interconnect Policy: for Interstate Natural Gas Pipelines</w:t>
            </w:r>
          </w:p>
        </w:tc>
        <w:tc>
          <w:tcPr>
            <w:tcW w:w="900" w:type="dxa"/>
            <w:tcBorders/>
          </w:tcPr>
          <w:p>
            <w:pPr>
              <w:pStyle w:val="Normal"/>
              <w:widowControl/>
              <w:ind w:start="44" w:end="0"/>
              <w:rPr>
                <w:b/>
                <w:sz w:val="24"/>
              </w:rPr>
            </w:pPr>
            <w:r>
              <w:rPr>
                <w:b/>
                <w:sz w:val="24"/>
              </w:rPr>
              <w:t>Date:</w:t>
            </w:r>
          </w:p>
        </w:tc>
        <w:tc>
          <w:tcPr>
            <w:tcW w:w="2520" w:type="dxa"/>
            <w:gridSpan w:val="3"/>
            <w:tcBorders/>
          </w:tcPr>
          <w:p>
            <w:pPr>
              <w:pStyle w:val="Date"/>
              <w:widowControl/>
              <w:rPr>
                <w:rFonts w:ascii="Times New Roman" w:hAnsi="Times New Roman" w:cs="Times New Roman"/>
                <w:sz w:val="24"/>
              </w:rPr>
            </w:pPr>
            <w:r>
              <w:rPr>
                <w:rFonts w:cs="Times New Roman" w:ascii="Times New Roman" w:hAnsi="Times New Roman"/>
                <w:sz w:val="24"/>
              </w:rPr>
              <w:t>April 12, 2000</w:t>
            </w:r>
          </w:p>
        </w:tc>
      </w:tr>
    </w:tbl>
    <w:p>
      <w:pPr>
        <w:pStyle w:val="Normal"/>
        <w:widowControl/>
        <w:pBdr>
          <w:bottom w:val="single" w:sz="12" w:space="1" w:color="000000"/>
        </w:pBdr>
        <w:rPr>
          <w:sz w:val="24"/>
        </w:rPr>
      </w:pPr>
      <w:r>
        <w:rPr>
          <w:sz w:val="24"/>
        </w:rPr>
      </w:r>
    </w:p>
    <w:p>
      <w:pPr>
        <w:pStyle w:val="Normal"/>
        <w:widowControl/>
        <w:tabs>
          <w:tab w:val="clear" w:pos="720"/>
          <w:tab w:val="left" w:pos="4770" w:leader="none"/>
          <w:tab w:val="left" w:pos="4860" w:leader="none"/>
        </w:tabs>
        <w:rPr>
          <w:sz w:val="24"/>
        </w:rPr>
      </w:pPr>
      <w:r>
        <w:rPr>
          <w:sz w:val="24"/>
        </w:rPr>
      </w:r>
    </w:p>
    <w:p>
      <w:pPr>
        <w:pStyle w:val="Normal"/>
        <w:widowControl/>
        <w:rPr>
          <w:sz w:val="24"/>
        </w:rPr>
      </w:pPr>
      <w:r>
        <w:rPr>
          <w:sz w:val="24"/>
        </w:rPr>
        <w:t xml:space="preserve">At the Commission meeting this morning FERC announced a new pipeline interconnection policy, replacing the former policy under which a pipeline is not obligated to grant interconnection, but to the extent a pipeline grants an interconnection for one party, it must grant interconnection to other similarly situated parties.  </w:t>
      </w:r>
    </w:p>
    <w:p>
      <w:pPr>
        <w:pStyle w:val="Normal"/>
        <w:widowControl/>
        <w:rPr>
          <w:sz w:val="24"/>
        </w:rPr>
      </w:pPr>
      <w:r>
        <w:rPr>
          <w:sz w:val="24"/>
        </w:rPr>
      </w:r>
    </w:p>
    <w:p>
      <w:pPr>
        <w:pStyle w:val="Normal"/>
        <w:widowControl/>
        <w:rPr>
          <w:sz w:val="24"/>
        </w:rPr>
      </w:pPr>
      <w:r>
        <w:rPr>
          <w:sz w:val="24"/>
        </w:rPr>
        <w:t>Under the new policy a pipeline must allow interconnection if five conditions are met.</w:t>
      </w:r>
    </w:p>
    <w:p>
      <w:pPr>
        <w:pStyle w:val="Normal"/>
        <w:widowControl/>
        <w:numPr>
          <w:ilvl w:val="0"/>
          <w:numId w:val="2"/>
        </w:numPr>
        <w:rPr>
          <w:sz w:val="24"/>
        </w:rPr>
      </w:pPr>
      <w:r>
        <w:rPr>
          <w:sz w:val="24"/>
        </w:rPr>
        <w:t>The requester is willing to bear the cost of the construction or is willing to construct themselves to the pipeline design specifications, and the interconnection:</w:t>
      </w:r>
    </w:p>
    <w:p>
      <w:pPr>
        <w:pStyle w:val="Normal"/>
        <w:widowControl/>
        <w:numPr>
          <w:ilvl w:val="0"/>
          <w:numId w:val="2"/>
        </w:numPr>
        <w:rPr>
          <w:sz w:val="24"/>
        </w:rPr>
      </w:pPr>
      <w:r>
        <w:rPr>
          <w:sz w:val="24"/>
        </w:rPr>
        <w:t>Must not adversely impact operations;</w:t>
      </w:r>
    </w:p>
    <w:p>
      <w:pPr>
        <w:pStyle w:val="Normal"/>
        <w:widowControl/>
        <w:numPr>
          <w:ilvl w:val="0"/>
          <w:numId w:val="2"/>
        </w:numPr>
        <w:rPr>
          <w:sz w:val="24"/>
        </w:rPr>
      </w:pPr>
      <w:r>
        <w:rPr>
          <w:sz w:val="24"/>
        </w:rPr>
        <w:t>Must not diminish service to existing shippers;</w:t>
      </w:r>
    </w:p>
    <w:p>
      <w:pPr>
        <w:pStyle w:val="Normal"/>
        <w:widowControl/>
        <w:numPr>
          <w:ilvl w:val="0"/>
          <w:numId w:val="2"/>
        </w:numPr>
        <w:rPr>
          <w:sz w:val="24"/>
        </w:rPr>
      </w:pPr>
      <w:r>
        <w:rPr>
          <w:sz w:val="24"/>
        </w:rPr>
        <w:t>Must not cause the pipeline to be in violation of environmental or safety permits, rules or regulations; and</w:t>
      </w:r>
    </w:p>
    <w:p>
      <w:pPr>
        <w:pStyle w:val="Normal"/>
        <w:widowControl/>
        <w:numPr>
          <w:ilvl w:val="0"/>
          <w:numId w:val="2"/>
        </w:numPr>
        <w:rPr>
          <w:sz w:val="24"/>
        </w:rPr>
      </w:pPr>
      <w:r>
        <w:rPr>
          <w:sz w:val="24"/>
        </w:rPr>
        <w:t>Must not be in violation of ROW agreements or other contractual agreements.</w:t>
      </w:r>
    </w:p>
    <w:p>
      <w:pPr>
        <w:pStyle w:val="BodyText2"/>
        <w:widowControl/>
        <w:rPr>
          <w:b/>
          <w:u w:val="single"/>
        </w:rPr>
      </w:pPr>
      <w:r>
        <w:rPr>
          <w:b/>
          <w:u w:val="single"/>
        </w:rPr>
        <w:t>A pipeline may not deny interconnection on economic grounds.</w:t>
      </w:r>
    </w:p>
    <w:p>
      <w:pPr>
        <w:pStyle w:val="Normal"/>
        <w:widowControl/>
        <w:rPr>
          <w:b/>
          <w:sz w:val="24"/>
          <w:u w:val="single"/>
        </w:rPr>
      </w:pPr>
      <w:r>
        <w:rPr>
          <w:b/>
          <w:sz w:val="24"/>
          <w:u w:val="single"/>
        </w:rPr>
      </w:r>
    </w:p>
    <w:p>
      <w:pPr>
        <w:pStyle w:val="Normal"/>
        <w:widowControl/>
        <w:rPr/>
      </w:pPr>
      <w:r>
        <w:rPr>
          <w:sz w:val="24"/>
        </w:rPr>
        <w:t xml:space="preserve">The new policy was announced in the context of a court remand of a </w:t>
      </w:r>
      <w:r>
        <w:rPr>
          <w:i/>
          <w:sz w:val="24"/>
        </w:rPr>
        <w:t xml:space="preserve">Panhandle </w:t>
      </w:r>
      <w:r>
        <w:rPr>
          <w:sz w:val="24"/>
        </w:rPr>
        <w:t xml:space="preserve">decision.  (Docket No. RP97-29).   The Court said that the Commission had not explained why it had ordered Panhandle to remove tariff language allowing Panhandle to deny interconnection requests on economic grounds and how such requirement fits with the similarly situated policy. </w:t>
      </w:r>
      <w:r>
        <w:rPr>
          <w:i/>
          <w:sz w:val="24"/>
        </w:rPr>
        <w:t>Panhandle Eastern Pipe Line Company v. FERC</w:t>
      </w:r>
      <w:r>
        <w:rPr>
          <w:sz w:val="24"/>
        </w:rPr>
        <w:t>, Case No. 98-1048, D.C. Circuit (November 26, 1999).  The Commission takes the opportunity in this order to explain its change in reasoning and announce a new policy in the Panhandle case and for all future pipeline decisions.</w:t>
      </w:r>
    </w:p>
    <w:p>
      <w:pPr>
        <w:pStyle w:val="Normal"/>
        <w:widowControl/>
        <w:rPr>
          <w:sz w:val="24"/>
        </w:rPr>
      </w:pPr>
      <w:r>
        <w:rPr>
          <w:sz w:val="24"/>
        </w:rPr>
      </w:r>
    </w:p>
    <w:p>
      <w:pPr>
        <w:pStyle w:val="Heading5"/>
        <w:widowControl/>
        <w:ind w:hanging="0" w:start="0"/>
        <w:rPr/>
      </w:pPr>
      <w:r>
        <w:rPr/>
        <w:t>Open Commission Discussion Today</w:t>
      </w:r>
    </w:p>
    <w:p>
      <w:pPr>
        <w:pStyle w:val="Normal"/>
        <w:widowControl/>
        <w:numPr>
          <w:ilvl w:val="0"/>
          <w:numId w:val="3"/>
        </w:numPr>
        <w:rPr>
          <w:sz w:val="24"/>
        </w:rPr>
      </w:pPr>
      <w:r>
        <w:rPr>
          <w:sz w:val="24"/>
        </w:rPr>
        <w:t>Commissioner Breathitt said that while the policy precludes a pipeline from denying interconnection on economic grounds, it does not preclude the Commission from considering cost-shifting issues and the impact on captive customers in much the same way as the balancing test operates under the new Certificate Policy Statement.  She recognizes that this new policy may allow shippers to bypass part of a pipeline system and she said that she can only support this order because of her understanding that the Commission is willing to entertain these transitional issues on a case by case basis.</w:t>
      </w:r>
    </w:p>
    <w:p>
      <w:pPr>
        <w:pStyle w:val="Normal"/>
        <w:widowControl/>
        <w:numPr>
          <w:ilvl w:val="0"/>
          <w:numId w:val="3"/>
        </w:numPr>
        <w:rPr>
          <w:sz w:val="24"/>
        </w:rPr>
      </w:pPr>
      <w:r>
        <w:rPr>
          <w:sz w:val="24"/>
        </w:rPr>
        <w:t>Commission Massey said that he is pleased that the Commission is moving off the similarly situated test towards a more pro-competitive policy.  He feels like pipelines were hesitant to provide hook-ups under the old policy.  He noted that this new policy is generally consistent with the recently announced electric transmission interconnect policy.  His only criticism of the new policy is that he would have preferred to set out a specific timetable for pipelines to respond to requests for interconnection, as the Commission has required on the electric side.  He is worried that pipeline interconnection requests will suffer undue delay.</w:t>
      </w:r>
    </w:p>
    <w:p>
      <w:pPr>
        <w:pStyle w:val="Normal"/>
        <w:widowControl/>
        <w:numPr>
          <w:ilvl w:val="0"/>
          <w:numId w:val="3"/>
        </w:numPr>
        <w:rPr>
          <w:sz w:val="24"/>
        </w:rPr>
      </w:pPr>
      <w:r>
        <w:rPr>
          <w:sz w:val="24"/>
        </w:rPr>
        <w:t>Chairman Hoecker declared this to be another pro competitive policy.  He recognizes that it might pose some revenue loss issues, but is not willing to entertain an exit fee regime.  He noted that the Commission’s bypass policy poses similar revenue risks for LDCs.</w:t>
      </w:r>
    </w:p>
    <w:p>
      <w:pPr>
        <w:pStyle w:val="Normal"/>
        <w:widowControl/>
        <w:rPr>
          <w:sz w:val="24"/>
        </w:rPr>
      </w:pPr>
      <w:r>
        <w:rPr>
          <w:sz w:val="24"/>
        </w:rPr>
      </w:r>
    </w:p>
    <w:p>
      <w:pPr>
        <w:pStyle w:val="Heading5"/>
        <w:widowControl/>
        <w:ind w:hanging="0" w:start="0"/>
        <w:rPr/>
      </w:pPr>
      <w:r>
        <w:rPr/>
        <w:t>Prior Policy and Comparison of NGA and FPA Authority</w:t>
      </w:r>
    </w:p>
    <w:p>
      <w:pPr>
        <w:pStyle w:val="Normal"/>
        <w:widowControl/>
        <w:rPr/>
      </w:pPr>
      <w:r>
        <w:rPr>
          <w:sz w:val="24"/>
        </w:rPr>
        <w:t>Under prior FERC policy, pipelines are not required to construct facilities to interconnect with any party.  Rather the FERC requires that pipelines treat similarly situated entities alike. There is no discrimination where a pipeline denied interconnects to all similarly situated parties</w:t>
      </w:r>
      <w:r>
        <w:rPr>
          <w:i/>
          <w:sz w:val="24"/>
        </w:rPr>
        <w:t>.  Southwestern Pub. Serv. Co. v. Red River Pipeline</w:t>
      </w:r>
      <w:r>
        <w:rPr>
          <w:sz w:val="24"/>
        </w:rPr>
        <w:t xml:space="preserve">, 63 FERC ¶ 61,125, 61825 (1993).  This policy arose based on the language of Section 7(a) of the NGA that provides (in relevant part) that "the Commission shall have no authority to …compel such natural-gas company to establish physical connection… when to do so would impair its ability to render adequate service." </w:t>
      </w:r>
    </w:p>
    <w:p>
      <w:pPr>
        <w:pStyle w:val="Normal"/>
        <w:widowControl/>
        <w:rPr>
          <w:sz w:val="24"/>
        </w:rPr>
      </w:pPr>
      <w:r>
        <w:rPr>
          <w:sz w:val="24"/>
        </w:rPr>
      </w:r>
    </w:p>
    <w:p>
      <w:pPr>
        <w:pStyle w:val="Normal"/>
        <w:widowControl/>
        <w:rPr>
          <w:sz w:val="24"/>
        </w:rPr>
      </w:pPr>
      <w:r>
        <w:rPr>
          <w:sz w:val="24"/>
        </w:rPr>
        <w:t xml:space="preserve">Nor is there a requirement under the NGA or FERC regulations for pipelines to include interconnect policies in their tariff.  Neither FGT, NNG, nor TW have a specific interconnect policy in its tariff.  Each of the pipelines has a "facilities" provision stating that there is no obligation to modify existing facilities or construct new facilities, but that to the extent the pipeline does construct facilities, it will do so on a not unduly discriminatory basis.  Furthermore, Section 284.8(e) of the regulations provides that pipeline need not provide service that would require construction or acquisition of any new facilities.  </w:t>
      </w:r>
    </w:p>
    <w:p>
      <w:pPr>
        <w:pStyle w:val="Normal"/>
        <w:widowControl/>
        <w:rPr>
          <w:sz w:val="24"/>
        </w:rPr>
      </w:pPr>
      <w:r>
        <w:rPr>
          <w:sz w:val="24"/>
        </w:rPr>
      </w:r>
    </w:p>
    <w:p>
      <w:pPr>
        <w:pStyle w:val="Normal"/>
        <w:widowControl/>
        <w:rPr/>
      </w:pPr>
      <w:r>
        <w:rPr>
          <w:sz w:val="24"/>
        </w:rPr>
        <w:t xml:space="preserve">Notwithstanding the lack of a mandatory FERC interconnection policy, pipelines historically built interconnections where its shippers sought new sources of supply (new receipt points) or new markets to deliver gas (new delivery points).  More recently; however, complaints have arisen over pipelines refusal to interconnect with other pipelines.  The refusing pipelines cite concerns over the physical location of the interconnection (i.e. concern that the interconnecting pipeline is trying to extract physical flexibility from the other) or the economic impact of the impact (i.e. concern that the interconnecting pipeline is trying to circumvent the rate structure).    For example, ANR filed a complaint against Transco for denying a request for a new interconnection.  Transco denied that interconnect because it was concerned that the proposed interconnection was an attempt to circumvent Transco's IT feeder rate structure. See e.g. the ALJ initial decision explaining the reasons why a pipeline might want to deny an interconnection.  </w:t>
      </w:r>
      <w:r>
        <w:rPr>
          <w:i/>
          <w:sz w:val="24"/>
        </w:rPr>
        <w:t>ANR Pipeline Company v. Transcontinental Gas Pipe Line Corporation</w:t>
      </w:r>
      <w:r>
        <w:rPr>
          <w:sz w:val="24"/>
        </w:rPr>
        <w:t xml:space="preserve">, 86 FERC ¶ 63,010 (March 11, 1999).   The Commission also voted out an order on this complaint today. </w:t>
      </w:r>
    </w:p>
    <w:p>
      <w:pPr>
        <w:pStyle w:val="Normal"/>
        <w:widowControl/>
        <w:rPr>
          <w:sz w:val="24"/>
        </w:rPr>
      </w:pPr>
      <w:r>
        <w:rPr>
          <w:sz w:val="24"/>
        </w:rPr>
      </w:r>
    </w:p>
    <w:p>
      <w:pPr>
        <w:pStyle w:val="Normal"/>
        <w:widowControl/>
        <w:rPr>
          <w:sz w:val="24"/>
        </w:rPr>
      </w:pPr>
      <w:r>
        <w:rPr>
          <w:sz w:val="24"/>
        </w:rPr>
        <w:t xml:space="preserve">In contrast to the NGA limitations on compelling facilities, section 210 of the Federal Power Act (added as part of the Energy Policy Act of 1992) specifically gave FERC jurisdiction in transmission interconnections (note: the FERC doesn’t otherwise have certificate-type facilities jurisdiction on the electric side).   </w:t>
      </w:r>
    </w:p>
    <w:p>
      <w:pPr>
        <w:pStyle w:val="Normal"/>
        <w:widowControl/>
        <w:rPr>
          <w:sz w:val="24"/>
        </w:rPr>
      </w:pPr>
      <w:r>
        <w:rPr>
          <w:sz w:val="24"/>
        </w:rPr>
      </w:r>
    </w:p>
    <w:p>
      <w:pPr>
        <w:pStyle w:val="Heading7"/>
        <w:ind w:hanging="0" w:start="0"/>
        <w:rPr/>
      </w:pPr>
      <w:r>
        <w:rPr/>
        <w:t>Conclusion</w:t>
      </w:r>
    </w:p>
    <w:p>
      <w:pPr>
        <w:pStyle w:val="Normal"/>
        <w:widowControl/>
        <w:rPr>
          <w:sz w:val="24"/>
        </w:rPr>
      </w:pPr>
      <w:r>
        <w:rPr>
          <w:sz w:val="24"/>
        </w:rPr>
        <w:t>In summary, this new pipeline interconnect policy seems to be another example of the Commission insisting on common gas &amp; electric policies, even where the underlying statutory authorities differ.  It will be interesting to see whether pipelines collectively seek to challenge the FERC’s authority to compel facilities without regard to economic considerations or whether pipelines take the approach of Commissioner Breathitt – addressing cost-shifting issues in individual cases.</w:t>
      </w:r>
    </w:p>
    <w:p>
      <w:pPr>
        <w:pStyle w:val="Normal"/>
        <w:widowControl/>
        <w:rPr>
          <w:sz w:val="24"/>
        </w:rPr>
      </w:pPr>
      <w:r>
        <w:rPr>
          <w:sz w:val="24"/>
        </w:rPr>
      </w:r>
    </w:p>
    <w:p>
      <w:pPr>
        <w:pStyle w:val="Normal"/>
        <w:widowControl/>
        <w:rPr>
          <w:sz w:val="24"/>
        </w:rPr>
      </w:pPr>
      <w:r>
        <w:rPr>
          <w:sz w:val="24"/>
        </w:rPr>
        <w:t>Note:  This summary of the new policy is based on the Commission meeting discussion alone.  I’ll circulate the order when I receive a copy.</w:t>
      </w:r>
    </w:p>
    <w:p>
      <w:pPr>
        <w:pStyle w:val="Normal"/>
        <w:widowControl/>
        <w:rPr>
          <w:sz w:val="24"/>
        </w:rPr>
      </w:pPr>
      <w:r>
        <w:rPr>
          <w:sz w:val="24"/>
        </w:rPr>
      </w:r>
    </w:p>
    <w:p>
      <w:pPr>
        <w:pStyle w:val="Normal"/>
        <w:widowControl/>
        <w:rPr>
          <w:sz w:val="24"/>
        </w:rPr>
      </w:pPr>
      <w:r>
        <w:rPr>
          <w:sz w:val="24"/>
        </w:rPr>
        <w:t xml:space="preserve"> </w:t>
      </w:r>
    </w:p>
    <w:sectPr>
      <w:type w:val="nextPage"/>
      <w:pgSz w:w="12240" w:h="15840"/>
      <w:pgMar w:left="1800" w:right="1800" w:gutter="0" w:header="0" w:top="99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360"/>
        </w:tabs>
        <w:ind w:start="36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u w:val="single"/>
    </w:rPr>
  </w:style>
  <w:style w:type="paragraph" w:styleId="Heading4">
    <w:name w:val="heading 4"/>
    <w:basedOn w:val="Normal"/>
    <w:next w:val="Normal"/>
    <w:qFormat/>
    <w:pPr>
      <w:keepNext w:val="true"/>
      <w:numPr>
        <w:ilvl w:val="3"/>
        <w:numId w:val="1"/>
      </w:numPr>
      <w:outlineLvl w:val="3"/>
    </w:pPr>
    <w:rPr>
      <w:b/>
      <w:color w:val="000000"/>
      <w:u w:val="single"/>
    </w:rPr>
  </w:style>
  <w:style w:type="paragraph" w:styleId="Heading5">
    <w:name w:val="heading 5"/>
    <w:basedOn w:val="Normal"/>
    <w:next w:val="Normal"/>
    <w:qFormat/>
    <w:pPr>
      <w:keepNext w:val="true"/>
      <w:numPr>
        <w:ilvl w:val="4"/>
        <w:numId w:val="1"/>
      </w:numPr>
      <w:outlineLvl w:val="4"/>
    </w:pPr>
    <w:rPr>
      <w:b/>
      <w:sz w:val="24"/>
      <w:u w:val="single"/>
    </w:rPr>
  </w:style>
  <w:style w:type="paragraph" w:styleId="Heading6">
    <w:name w:val="heading 6"/>
    <w:basedOn w:val="Normal"/>
    <w:next w:val="Normal"/>
    <w:qFormat/>
    <w:pPr>
      <w:keepNext w:val="true"/>
      <w:numPr>
        <w:ilvl w:val="5"/>
        <w:numId w:val="1"/>
      </w:numPr>
      <w:outlineLvl w:val="5"/>
    </w:pPr>
    <w:rPr>
      <w:sz w:val="24"/>
      <w:u w:val="single"/>
    </w:rPr>
  </w:style>
  <w:style w:type="paragraph" w:styleId="Heading7">
    <w:name w:val="heading 7"/>
    <w:basedOn w:val="Normal"/>
    <w:next w:val="Normal"/>
    <w:qFormat/>
    <w:pPr>
      <w:keepNext w:val="true"/>
      <w:widowControl/>
      <w:numPr>
        <w:ilvl w:val="6"/>
        <w:numId w:val="1"/>
      </w:numPr>
      <w:outlineLvl w:val="6"/>
    </w:pPr>
    <w:rPr>
      <w:b/>
      <w:sz w:val="24"/>
    </w:rPr>
  </w:style>
  <w:style w:type="character" w:styleId="WW8Num1z0">
    <w:name w:val="WW8Num1z0"/>
    <w:qFormat/>
    <w:rPr>
      <w:rFonts w:ascii="Wingdings" w:hAnsi="Wingdings" w:cs="Wingdings"/>
    </w:rPr>
  </w:style>
  <w:style w:type="character" w:styleId="WW8Num3z0">
    <w:name w:val="WW8Num3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 w:val="24"/>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ject">
    <w:name w:val="Subject"/>
    <w:basedOn w:val="Normal"/>
    <w:qFormat/>
    <w:pPr/>
    <w:rPr>
      <w:rFonts w:ascii="Arial" w:hAnsi="Arial" w:cs="Arial"/>
    </w:rPr>
  </w:style>
  <w:style w:type="paragraph" w:styleId="Date">
    <w:name w:val="Date"/>
    <w:basedOn w:val="Normal"/>
    <w:qFormat/>
    <w:pPr/>
    <w:rPr>
      <w:rFonts w:ascii="Arial" w:hAnsi="Arial" w:cs="Arial"/>
    </w:rPr>
  </w:style>
  <w:style w:type="paragraph" w:styleId="To">
    <w:name w:val="To"/>
    <w:basedOn w:val="Normal"/>
    <w:qFormat/>
    <w:pPr/>
    <w:rPr>
      <w:rFonts w:ascii="Arial" w:hAnsi="Arial" w:cs="Arial"/>
    </w:rPr>
  </w:style>
  <w:style w:type="paragraph" w:styleId="From">
    <w:name w:val="From"/>
    <w:basedOn w:val="Normal"/>
    <w:qFormat/>
    <w:pPr/>
    <w:rPr>
      <w:rFonts w:ascii="Arial" w:hAnsi="Arial" w:cs="Arial"/>
    </w:rPr>
  </w:style>
  <w:style w:type="paragraph" w:styleId="Department">
    <w:name w:val="Department"/>
    <w:basedOn w:val="Normal"/>
    <w:qFormat/>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2000-02-02T16:14:00Z</dcterms:created>
  <dc:creator>ET&amp;S LAN Support</dc:creator>
  <dc:description/>
  <dc:language>en-CA</dc:language>
  <cp:lastModifiedBy>ETS</cp:lastModifiedBy>
  <cp:lastPrinted>2000-01-10T13:50:00Z</cp:lastPrinted>
  <dcterms:modified xsi:type="dcterms:W3CDTF">2000-04-12T13:33:00Z</dcterms:modified>
  <cp:revision>5</cp:revision>
  <dc:subject/>
  <dc:title>DRAFT</dc:title>
</cp:coreProperties>
</file>