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t>The Next Frontier of Risk Management</w:t>
      </w:r>
    </w:p>
    <w:p>
      <w:pPr>
        <w:pStyle w:val="Normal"/>
        <w:jc w:val="both"/>
        <w:rPr>
          <w:b/>
        </w:rPr>
      </w:pPr>
      <w:r>
        <w:rPr>
          <w:b/>
        </w:rPr>
      </w:r>
    </w:p>
    <w:p>
      <w:pPr>
        <w:pStyle w:val="Normal"/>
        <w:jc w:val="both"/>
        <w:rPr/>
      </w:pPr>
      <w:r>
        <w:rPr/>
      </w:r>
    </w:p>
    <w:p>
      <w:pPr>
        <w:pStyle w:val="BodyText"/>
        <w:rPr/>
      </w:pPr>
      <w:r>
        <w:rPr/>
        <w:t>One of the main trends defining the evolution of the financial sector in the United States over the last 40 years was disintermediation: replacement of traditional channels connecting savers and investors by alternative routes. There are many examples of this process. For example, the traditional way of financing housing in the United States for many decades of the 20</w:t>
      </w:r>
      <w:r>
        <w:rPr>
          <w:vertAlign w:val="superscript"/>
        </w:rPr>
        <w:t>th</w:t>
      </w:r>
      <w:r>
        <w:rPr/>
        <w:t xml:space="preserve"> century was in the form of bank loans (or loans from the savings and loans institutions). The loans stayed on the balance sheets of the lending institutions till repayment. Beginning in the 1970’s a new financial technology was developed: mortgages and other housing related loans are being repackaged in the form of bonds, of different maturity and risk profiles, and transferred to the portfolios of institutional and individual investors. The same process is slowly taking place in the insurance industry.</w:t>
      </w:r>
    </w:p>
    <w:p>
      <w:pPr>
        <w:pStyle w:val="BodyText"/>
        <w:rPr/>
      </w:pPr>
      <w:r>
        <w:rPr/>
      </w:r>
    </w:p>
    <w:p>
      <w:pPr>
        <w:pStyle w:val="BodyText"/>
        <w:rPr/>
      </w:pPr>
      <w:r>
        <w:rPr/>
        <w:t xml:space="preserve">The first symptoms of change became visible in the early 1990s with the introduction of Chicago Board of Trade catastrophe futures (CAT futures), CAT bonds and so-called contingent surplus notes available in the OTC markets. A catastrophe is defined as an event that causes losses exceeding $5mm in insured property losses and affects a large number of insured entities and insurance companies (Property Claims Services, 1993). The CBOT started insurance futures in December of 1992. There were originally four contracts available (National, Eastern, Midwestern and Western catastrophes). The underlying index consisted of loss reported every quarter to the Insurance Service office by approximately 100 companies. The settlement of the contract was based on the pool of companies selected by the ISO based on size, diversity of business, and quality of reported data. In 1995y the pool included about 25 companies. Catastrophe insurance futures traded on a quarterly cycle. The CBOT insurance contract has evolved since its introduction but there is not space her to review all the details (one can obtain the update from the CBOT website). </w:t>
      </w:r>
    </w:p>
    <w:p>
      <w:pPr>
        <w:pStyle w:val="BodyText"/>
        <w:rPr/>
      </w:pPr>
      <w:r>
        <w:rPr/>
      </w:r>
    </w:p>
    <w:p>
      <w:pPr>
        <w:pStyle w:val="BodyText"/>
        <w:rPr/>
      </w:pPr>
      <w:r>
        <w:rPr/>
        <w:t>The trend to further disintermediation is likely to intensify in the next few years and will take the form of transferring the risk from the traditional insurers to the investment portfolios.</w:t>
      </w:r>
    </w:p>
    <w:p>
      <w:pPr>
        <w:pStyle w:val="BodyText"/>
        <w:rPr/>
      </w:pPr>
      <w:r>
        <w:rPr/>
      </w:r>
    </w:p>
    <w:p>
      <w:pPr>
        <w:pStyle w:val="BodyText"/>
        <w:rPr/>
      </w:pPr>
      <w:r>
        <w:rPr/>
        <w:t>This trend will benefit the traditional insurers who for the last two decades lagged the stock market in terms of return on equity and P/E ratios. By transferring the insurance risks to the investor community, they will be able to redeploy capital in the activities in which they have core competencies, like underwriting, pricing risk, offering physical risk mitigation tools and servicing existing insurance contracts. Risk transfer creates arbitrage opportunities, because many investors can accept after-tax returns that are comparable to returns on other assets in their portfolios but are below hurdle rate acceptable to the insurers. This reflects the ability of many investors (mutual funds, pension funds) to hold the risk at a lower price (sometimes due to the tax treatment they receive). The main attraction of holding insurance risk is that it has very low correlation with other types of risk. This allows the investors to diversify in a more effective way the risks embedded in their portfolios. The insurance related instruments can, therefore, be accepted as part of the portfolio at a much lower effective return.</w:t>
      </w:r>
    </w:p>
    <w:p>
      <w:pPr>
        <w:pStyle w:val="BodyText"/>
        <w:rPr/>
      </w:pPr>
      <w:r>
        <w:rPr/>
      </w:r>
    </w:p>
    <w:p>
      <w:pPr>
        <w:pStyle w:val="BodyText"/>
        <w:rPr/>
      </w:pPr>
      <w:r>
        <w:rPr/>
        <w:t xml:space="preserve">This trend may threaten a number of existing companies in the financial industry, while creating opportunities for other players. Companies that are on the receiving end of change are reinsurers whose traditional role was to spread insurance risk further among many players. This will be accomplished more efficiently in the future through the capital markets. The reinsurers may recover part of the lost business by becoming agents in the process of securitization and repackaging insurance risk. </w:t>
      </w:r>
    </w:p>
    <w:p>
      <w:pPr>
        <w:pStyle w:val="BodyText"/>
        <w:rPr/>
      </w:pPr>
      <w:r>
        <w:rPr/>
      </w:r>
    </w:p>
    <w:p>
      <w:pPr>
        <w:pStyle w:val="BodyText"/>
        <w:rPr/>
      </w:pPr>
      <w:r>
        <w:rPr/>
        <w:t>The development towards the disintermediation of insurance risk will allow absorbing the significant catastrophe risks (hurricanes, earthquakes, environmental liability) through capital pools much bigger than resources available to the insurance companies. In the past, the necessary buffers and shock absorbers were being provided through reinsurers and through implicit credit guarantees of the government agencies. This solution to the problem of handling insurance risk is less efficient than using the capital markets route.</w:t>
      </w:r>
    </w:p>
    <w:p>
      <w:pPr>
        <w:pStyle w:val="BodyText"/>
        <w:rPr/>
      </w:pPr>
      <w:r>
        <w:rPr/>
      </w:r>
    </w:p>
    <w:p>
      <w:pPr>
        <w:pStyle w:val="BodyText"/>
        <w:rPr/>
      </w:pPr>
      <w:r>
        <w:rPr/>
        <w:t>One impediment to the development of the OTC markets for transfer of insurance risk is moral hazard. An insurer who can pass the risk to the investors may lower his underwriting standards and misprice the risk. The solution to this problem is risk-sharing: making the insurance company absorb part of the losses.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2000-05-15T10:52:00Z</dcterms:created>
  <dc:creator>Vince Kaminski</dc:creator>
  <dc:description/>
  <dc:language>en-CA</dc:language>
  <cp:lastModifiedBy>vkamins</cp:lastModifiedBy>
  <dcterms:modified xsi:type="dcterms:W3CDTF">2000-05-15T10:52:00Z</dcterms:modified>
  <cp:revision>2</cp:revision>
  <dc:subject/>
  <dc:title>The Next Frontier of Risk Management</dc:title>
</cp:coreProperties>
</file>