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Courier;Courier New" w:hAnsi="Courier;Courier New" w:cs="Courier;Courier New"/>
          <w:sz w:val="20"/>
          <w:u w:val="none"/>
        </w:rPr>
      </w:pPr>
      <w:r>
        <w:rPr>
          <w:rFonts w:cs="Courier;Courier New" w:ascii="Courier;Courier New" w:hAnsi="Courier;Courier New"/>
          <w:sz w:val="20"/>
          <w:u w:val="none"/>
        </w:rPr>
      </w:r>
      <w:r>
        <mc:AlternateContent>
          <mc:Choice Requires="wps">
            <w:drawing>
              <wp:anchor behindDoc="0" distT="0" distB="0" distL="0" distR="0" simplePos="0" locked="0" layoutInCell="0" allowOverlap="1" relativeHeight="2">
                <wp:simplePos x="0" y="0"/>
                <wp:positionH relativeFrom="margin">
                  <wp:posOffset>635</wp:posOffset>
                </wp:positionH>
                <wp:positionV relativeFrom="page">
                  <wp:posOffset>915035</wp:posOffset>
                </wp:positionV>
                <wp:extent cx="5943600" cy="99377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993775"/>
                        </a:xfrm>
                        <a:prstGeom prst="rect"/>
                        <a:solidFill>
                          <a:srgbClr val="FFFFFF">
                            <a:alpha val="0"/>
                          </a:srgbClr>
                        </a:solidFill>
                      </wps:spPr>
                      <wps:txbx>
                        <w:txbxContent>
                          <w:p>
                            <w:pPr>
                              <w:pStyle w:val="Normal"/>
                              <w:tabs>
                                <w:tab w:val="clear" w:pos="720"/>
                                <w:tab w:val="center" w:pos="4680" w:leader="none"/>
                              </w:tabs>
                              <w:rPr/>
                            </w:pPr>
                            <w:r>
                              <w:rPr>
                                <w:rFonts w:cs="Arial" w:ascii="Arial" w:hAnsi="Arial"/>
                                <w:sz w:val="32"/>
                              </w:rPr>
                              <w:tab/>
                            </w:r>
                            <w:r>
                              <w:rPr>
                                <w:rFonts w:cs="Arial" w:ascii="Arial" w:hAnsi="Arial"/>
                                <w:smallCaps/>
                                <w:sz w:val="32"/>
                              </w:rPr>
                              <w:t>LeBoeuf, Lamb, Greene &amp; MacRae</w:t>
                            </w:r>
                          </w:p>
                          <w:p>
                            <w:pPr>
                              <w:pStyle w:val="Normal"/>
                              <w:tabs>
                                <w:tab w:val="clear" w:pos="720"/>
                                <w:tab w:val="center" w:pos="4680" w:leader="none"/>
                              </w:tabs>
                              <w:rPr/>
                            </w:pPr>
                            <w:r>
                              <w:rPr>
                                <w:rFonts w:cs="Arial" w:ascii="Arial" w:hAnsi="Arial"/>
                                <w:smallCaps/>
                                <w:sz w:val="32"/>
                              </w:rPr>
                              <w:tab/>
                            </w:r>
                            <w:r>
                              <w:rPr>
                                <w:rFonts w:cs="Arial" w:ascii="Arial" w:hAnsi="Arial"/>
                                <w:smallCaps/>
                              </w:rPr>
                              <w:t>L.L.P.</w:t>
                            </w:r>
                          </w:p>
                          <w:p>
                            <w:pPr>
                              <w:pStyle w:val="Normal"/>
                              <w:tabs>
                                <w:tab w:val="clear" w:pos="720"/>
                                <w:tab w:val="center" w:pos="4680" w:leader="none"/>
                              </w:tabs>
                              <w:rPr/>
                            </w:pPr>
                            <w:r>
                              <w:rPr>
                                <w:rFonts w:cs="Arial" w:ascii="Arial" w:hAnsi="Arial"/>
                                <w:smallCaps/>
                              </w:rPr>
                              <w:tab/>
                            </w:r>
                            <w:r>
                              <w:rPr>
                                <w:rFonts w:cs="Arial" w:ascii="Arial" w:hAnsi="Arial"/>
                                <w:smallCaps/>
                                <w:sz w:val="12"/>
                              </w:rPr>
                              <w:t>A LIMITED LIABILITY PARTNERSHIP INCLUDING PROFESSIONAL CORPORATIONS</w:t>
                            </w:r>
                          </w:p>
                          <w:p>
                            <w:pPr>
                              <w:pStyle w:val="Normal"/>
                              <w:rPr>
                                <w:rFonts w:ascii="Arial" w:hAnsi="Arial" w:cs="Arial"/>
                                <w:smallCaps/>
                              </w:rPr>
                            </w:pPr>
                            <w:r>
                              <w:fldChar w:fldCharType="begin"/>
                            </w:r>
                            <w:r>
                              <w:rPr>
                                <w:smallCaps/>
                                <w:sz w:val="12"/>
                                <w:rFonts w:cs="Arial" w:ascii="Arial" w:hAnsi="Arial"/>
                              </w:rPr>
                              <w:instrText xml:space="preserve">ADVANCE \d10</w:instrText>
                            </w:r>
                            <w:r>
                              <w:rPr>
                                <w:rFonts w:cs="Arial" w:ascii="Arial" w:hAnsi="Arial"/>
                                <w:smallCaps/>
                                <w:sz w:val="12"/>
                              </w:rPr>
                            </w:r>
                            <w:r>
                              <w:rPr>
                                <w:smallCaps/>
                                <w:sz w:val="12"/>
                                <w:rFonts w:cs="Arial" w:ascii="Arial" w:hAnsi="Arial"/>
                              </w:rPr>
                              <w:fldChar w:fldCharType="separate"/>
                            </w:r>
                            <w:r>
                              <w:rPr>
                                <w:rFonts w:cs="Arial" w:ascii="Arial" w:hAnsi="Arial"/>
                                <w:smallCaps/>
                                <w:sz w:val="12"/>
                              </w:rPr>
                            </w:r>
                            <w:r/>
                            <w:r>
                              <w:rPr>
                                <w:smallCaps/>
                                <w:sz w:val="12"/>
                                <w:rFonts w:cs="Arial" w:ascii="Arial" w:hAnsi="Arial"/>
                              </w:rPr>
                              <w:fldChar w:fldCharType="end"/>
                            </w:r>
                            <w:r>
                              <w:rPr>
                                <w:rFonts w:cs="Arial" w:ascii="Arial" w:hAnsi="Arial"/>
                                <w:smallCaps/>
                                <w:sz w:val="12"/>
                              </w:rPr>
                            </w:r>
                          </w:p>
                          <w:p>
                            <w:pPr>
                              <w:pStyle w:val="Normal"/>
                              <w:jc w:val="center"/>
                              <w:rPr>
                                <w:rFonts w:ascii="Arial" w:hAnsi="Arial" w:cs="Arial"/>
                                <w:smallCaps/>
                              </w:rPr>
                            </w:pPr>
                            <w:r>
                              <w:rPr>
                                <w:rFonts w:cs="Arial" w:ascii="Arial" w:hAnsi="Arial"/>
                                <w:smallCaps/>
                              </w:rPr>
                              <w:t>1875 Connecticut Avenue, N.W.</w:t>
                            </w:r>
                          </w:p>
                          <w:p>
                            <w:pPr>
                              <w:pStyle w:val="Normal"/>
                              <w:jc w:val="center"/>
                              <w:rPr/>
                            </w:pPr>
                            <w:r>
                              <w:fldChar w:fldCharType="begin"/>
                            </w:r>
                            <w:r>
                              <w:rPr>
                                <w:smallCaps/>
                                <w:rFonts w:cs="Arial" w:ascii="Arial" w:hAnsi="Arial"/>
                              </w:rPr>
                              <w:instrText xml:space="preserve">ADVANCE \d4</w:instrText>
                            </w:r>
                            <w:r>
                              <w:rPr>
                                <w:rFonts w:cs="Arial" w:ascii="Arial" w:hAnsi="Arial"/>
                                <w:smallCaps/>
                              </w:rPr>
                            </w:r>
                            <w:r>
                              <w:rPr>
                                <w:smallCaps/>
                                <w:rFonts w:cs="Arial" w:ascii="Arial" w:hAnsi="Arial"/>
                              </w:rPr>
                              <w:fldChar w:fldCharType="separate"/>
                            </w:r>
                            <w:r>
                              <w:rPr>
                                <w:rFonts w:cs="Arial" w:ascii="Arial" w:hAnsi="Arial"/>
                                <w:smallCaps/>
                              </w:rPr>
                            </w:r>
                            <w:r>
                              <w:rPr>
                                <w:rFonts w:cs="Arial" w:ascii="Arial" w:hAnsi="Arial"/>
                                <w:smallCaps/>
                              </w:rPr>
                            </w:r>
                            <w:r>
                              <w:rPr>
                                <w:smallCaps/>
                                <w:rFonts w:cs="Arial" w:ascii="Arial" w:hAnsi="Arial"/>
                              </w:rPr>
                              <w:fldChar w:fldCharType="end"/>
                            </w:r>
                            <w:r>
                              <w:rPr>
                                <w:rFonts w:cs="Arial" w:ascii="Arial" w:hAnsi="Arial"/>
                                <w:smallCaps/>
                              </w:rPr>
                              <w:t>Suite 1200</w:t>
                            </w:r>
                          </w:p>
                          <w:p>
                            <w:pPr>
                              <w:pStyle w:val="Normal"/>
                              <w:jc w:val="center"/>
                              <w:rPr>
                                <w:rFonts w:ascii="Arial" w:hAnsi="Arial" w:cs="Arial"/>
                              </w:rPr>
                            </w:pPr>
                            <w:r>
                              <w:fldChar w:fldCharType="begin"/>
                            </w:r>
                            <w:r>
                              <w:rPr>
                                <w:smallCaps/>
                                <w:rFonts w:cs="Arial" w:ascii="Arial" w:hAnsi="Arial"/>
                              </w:rPr>
                              <w:instrText xml:space="preserve">ADVANCE \d4</w:instrText>
                            </w:r>
                            <w:r>
                              <w:rPr>
                                <w:rFonts w:cs="Arial" w:ascii="Arial" w:hAnsi="Arial"/>
                                <w:smallCaps/>
                              </w:rPr>
                            </w:r>
                            <w:r>
                              <w:rPr>
                                <w:smallCaps/>
                                <w:rFonts w:cs="Arial" w:ascii="Arial" w:hAnsi="Arial"/>
                              </w:rPr>
                              <w:fldChar w:fldCharType="separate"/>
                            </w:r>
                            <w:r>
                              <w:rPr>
                                <w:rFonts w:cs="Arial" w:ascii="Arial" w:hAnsi="Arial"/>
                                <w:smallCaps/>
                              </w:rPr>
                            </w:r>
                            <w:r>
                              <w:rPr>
                                <w:rFonts w:cs="Arial" w:ascii="Arial" w:hAnsi="Arial"/>
                                <w:smallCaps/>
                              </w:rPr>
                            </w:r>
                            <w:r>
                              <w:rPr>
                                <w:smallCaps/>
                                <w:rFonts w:cs="Arial" w:ascii="Arial" w:hAnsi="Arial"/>
                              </w:rPr>
                              <w:fldChar w:fldCharType="end"/>
                            </w:r>
                            <w:r>
                              <w:rPr>
                                <w:rFonts w:cs="Arial" w:ascii="Arial" w:hAnsi="Arial"/>
                                <w:smallCaps/>
                              </w:rPr>
                              <w:t>Washington, DC  20009</w:t>
                            </w:r>
                            <w:r>
                              <w:rPr>
                                <w:rFonts w:cs="WP TypographicSymbols" w:ascii="WP TypographicSymbols" w:hAnsi="WP TypographicSymbols"/>
                              </w:rPr>
                              <w:t>B</w:t>
                            </w:r>
                            <w:r>
                              <w:rPr>
                                <w:rFonts w:cs="Arial" w:ascii="Arial" w:hAnsi="Arial"/>
                                <w:smallCaps/>
                              </w:rPr>
                              <w:t>5728</w:t>
                            </w:r>
                          </w:p>
                        </w:txbxContent>
                      </wps:txbx>
                      <wps:bodyPr anchor="t" lIns="0" tIns="0" rIns="0" bIns="0">
                        <a:noAutofit/>
                      </wps:bodyPr>
                    </wps:wsp>
                  </a:graphicData>
                </a:graphic>
              </wp:anchor>
            </w:drawing>
          </mc:Choice>
          <mc:Fallback>
            <w:pict>
              <v:rect fillcolor="#FFFFFF" style="position:absolute;rotation:-0;width:468pt;height:78.25pt;mso-wrap-distance-left:0pt;mso-wrap-distance-right:0pt;mso-wrap-distance-top:0pt;mso-wrap-distance-bottom:0pt;margin-top:72.05pt;mso-position-vertical-relative:page;margin-left:0.05pt;mso-position-horizontal-relative:margin">
                <v:fill opacity="0f"/>
                <v:textbox inset="0in,0in,0in,0in">
                  <w:txbxContent>
                    <w:p>
                      <w:pPr>
                        <w:pStyle w:val="Normal"/>
                        <w:tabs>
                          <w:tab w:val="clear" w:pos="720"/>
                          <w:tab w:val="center" w:pos="4680" w:leader="none"/>
                        </w:tabs>
                        <w:rPr/>
                      </w:pPr>
                      <w:r>
                        <w:rPr>
                          <w:rFonts w:cs="Arial" w:ascii="Arial" w:hAnsi="Arial"/>
                          <w:sz w:val="32"/>
                        </w:rPr>
                        <w:tab/>
                      </w:r>
                      <w:r>
                        <w:rPr>
                          <w:rFonts w:cs="Arial" w:ascii="Arial" w:hAnsi="Arial"/>
                          <w:smallCaps/>
                          <w:sz w:val="32"/>
                        </w:rPr>
                        <w:t>LeBoeuf, Lamb, Greene &amp; MacRae</w:t>
                      </w:r>
                    </w:p>
                    <w:p>
                      <w:pPr>
                        <w:pStyle w:val="Normal"/>
                        <w:tabs>
                          <w:tab w:val="clear" w:pos="720"/>
                          <w:tab w:val="center" w:pos="4680" w:leader="none"/>
                        </w:tabs>
                        <w:rPr/>
                      </w:pPr>
                      <w:r>
                        <w:rPr>
                          <w:rFonts w:cs="Arial" w:ascii="Arial" w:hAnsi="Arial"/>
                          <w:smallCaps/>
                          <w:sz w:val="32"/>
                        </w:rPr>
                        <w:tab/>
                      </w:r>
                      <w:r>
                        <w:rPr>
                          <w:rFonts w:cs="Arial" w:ascii="Arial" w:hAnsi="Arial"/>
                          <w:smallCaps/>
                        </w:rPr>
                        <w:t>L.L.P.</w:t>
                      </w:r>
                    </w:p>
                    <w:p>
                      <w:pPr>
                        <w:pStyle w:val="Normal"/>
                        <w:tabs>
                          <w:tab w:val="clear" w:pos="720"/>
                          <w:tab w:val="center" w:pos="4680" w:leader="none"/>
                        </w:tabs>
                        <w:rPr/>
                      </w:pPr>
                      <w:r>
                        <w:rPr>
                          <w:rFonts w:cs="Arial" w:ascii="Arial" w:hAnsi="Arial"/>
                          <w:smallCaps/>
                        </w:rPr>
                        <w:tab/>
                      </w:r>
                      <w:r>
                        <w:rPr>
                          <w:rFonts w:cs="Arial" w:ascii="Arial" w:hAnsi="Arial"/>
                          <w:smallCaps/>
                          <w:sz w:val="12"/>
                        </w:rPr>
                        <w:t>A LIMITED LIABILITY PARTNERSHIP INCLUDING PROFESSIONAL CORPORATIONS</w:t>
                      </w:r>
                    </w:p>
                    <w:p>
                      <w:pPr>
                        <w:pStyle w:val="Normal"/>
                        <w:rPr>
                          <w:rFonts w:ascii="Arial" w:hAnsi="Arial" w:cs="Arial"/>
                          <w:smallCaps/>
                        </w:rPr>
                      </w:pPr>
                      <w:r>
                        <w:fldChar w:fldCharType="begin"/>
                      </w:r>
                      <w:r>
                        <w:rPr>
                          <w:smallCaps/>
                          <w:sz w:val="12"/>
                          <w:rFonts w:cs="Arial" w:ascii="Arial" w:hAnsi="Arial"/>
                        </w:rPr>
                        <w:instrText xml:space="preserve">ADVANCE \d10</w:instrText>
                      </w:r>
                      <w:r>
                        <w:rPr>
                          <w:rFonts w:cs="Arial" w:ascii="Arial" w:hAnsi="Arial"/>
                          <w:smallCaps/>
                          <w:sz w:val="12"/>
                        </w:rPr>
                      </w:r>
                      <w:r>
                        <w:rPr>
                          <w:smallCaps/>
                          <w:sz w:val="12"/>
                          <w:rFonts w:cs="Arial" w:ascii="Arial" w:hAnsi="Arial"/>
                        </w:rPr>
                        <w:fldChar w:fldCharType="separate"/>
                      </w:r>
                      <w:r>
                        <w:rPr>
                          <w:rFonts w:cs="Arial" w:ascii="Arial" w:hAnsi="Arial"/>
                          <w:smallCaps/>
                          <w:sz w:val="12"/>
                        </w:rPr>
                      </w:r>
                      <w:r/>
                      <w:r>
                        <w:rPr>
                          <w:smallCaps/>
                          <w:sz w:val="12"/>
                          <w:rFonts w:cs="Arial" w:ascii="Arial" w:hAnsi="Arial"/>
                        </w:rPr>
                        <w:fldChar w:fldCharType="end"/>
                      </w:r>
                      <w:r>
                        <w:rPr>
                          <w:rFonts w:cs="Arial" w:ascii="Arial" w:hAnsi="Arial"/>
                          <w:smallCaps/>
                          <w:sz w:val="12"/>
                        </w:rPr>
                      </w:r>
                    </w:p>
                    <w:p>
                      <w:pPr>
                        <w:pStyle w:val="Normal"/>
                        <w:jc w:val="center"/>
                        <w:rPr>
                          <w:rFonts w:ascii="Arial" w:hAnsi="Arial" w:cs="Arial"/>
                          <w:smallCaps/>
                        </w:rPr>
                      </w:pPr>
                      <w:r>
                        <w:rPr>
                          <w:rFonts w:cs="Arial" w:ascii="Arial" w:hAnsi="Arial"/>
                          <w:smallCaps/>
                        </w:rPr>
                        <w:t>1875 Connecticut Avenue, N.W.</w:t>
                      </w:r>
                    </w:p>
                    <w:p>
                      <w:pPr>
                        <w:pStyle w:val="Normal"/>
                        <w:jc w:val="center"/>
                        <w:rPr/>
                      </w:pPr>
                      <w:r>
                        <w:fldChar w:fldCharType="begin"/>
                      </w:r>
                      <w:r>
                        <w:rPr>
                          <w:smallCaps/>
                          <w:rFonts w:cs="Arial" w:ascii="Arial" w:hAnsi="Arial"/>
                        </w:rPr>
                        <w:instrText xml:space="preserve">ADVANCE \d4</w:instrText>
                      </w:r>
                      <w:r>
                        <w:rPr>
                          <w:rFonts w:cs="Arial" w:ascii="Arial" w:hAnsi="Arial"/>
                          <w:smallCaps/>
                        </w:rPr>
                      </w:r>
                      <w:r>
                        <w:rPr>
                          <w:smallCaps/>
                          <w:rFonts w:cs="Arial" w:ascii="Arial" w:hAnsi="Arial"/>
                        </w:rPr>
                        <w:fldChar w:fldCharType="separate"/>
                      </w:r>
                      <w:r>
                        <w:rPr>
                          <w:rFonts w:cs="Arial" w:ascii="Arial" w:hAnsi="Arial"/>
                          <w:smallCaps/>
                        </w:rPr>
                      </w:r>
                      <w:r>
                        <w:rPr>
                          <w:rFonts w:cs="Arial" w:ascii="Arial" w:hAnsi="Arial"/>
                          <w:smallCaps/>
                        </w:rPr>
                      </w:r>
                      <w:r>
                        <w:rPr>
                          <w:smallCaps/>
                          <w:rFonts w:cs="Arial" w:ascii="Arial" w:hAnsi="Arial"/>
                        </w:rPr>
                        <w:fldChar w:fldCharType="end"/>
                      </w:r>
                      <w:r>
                        <w:rPr>
                          <w:rFonts w:cs="Arial" w:ascii="Arial" w:hAnsi="Arial"/>
                          <w:smallCaps/>
                        </w:rPr>
                        <w:t>Suite 1200</w:t>
                      </w:r>
                    </w:p>
                    <w:p>
                      <w:pPr>
                        <w:pStyle w:val="Normal"/>
                        <w:jc w:val="center"/>
                        <w:rPr>
                          <w:rFonts w:ascii="Arial" w:hAnsi="Arial" w:cs="Arial"/>
                        </w:rPr>
                      </w:pPr>
                      <w:r>
                        <w:fldChar w:fldCharType="begin"/>
                      </w:r>
                      <w:r>
                        <w:rPr>
                          <w:smallCaps/>
                          <w:rFonts w:cs="Arial" w:ascii="Arial" w:hAnsi="Arial"/>
                        </w:rPr>
                        <w:instrText xml:space="preserve">ADVANCE \d4</w:instrText>
                      </w:r>
                      <w:r>
                        <w:rPr>
                          <w:rFonts w:cs="Arial" w:ascii="Arial" w:hAnsi="Arial"/>
                          <w:smallCaps/>
                        </w:rPr>
                      </w:r>
                      <w:r>
                        <w:rPr>
                          <w:smallCaps/>
                          <w:rFonts w:cs="Arial" w:ascii="Arial" w:hAnsi="Arial"/>
                        </w:rPr>
                        <w:fldChar w:fldCharType="separate"/>
                      </w:r>
                      <w:r>
                        <w:rPr>
                          <w:rFonts w:cs="Arial" w:ascii="Arial" w:hAnsi="Arial"/>
                          <w:smallCaps/>
                        </w:rPr>
                      </w:r>
                      <w:r>
                        <w:rPr>
                          <w:rFonts w:cs="Arial" w:ascii="Arial" w:hAnsi="Arial"/>
                          <w:smallCaps/>
                        </w:rPr>
                      </w:r>
                      <w:r>
                        <w:rPr>
                          <w:smallCaps/>
                          <w:rFonts w:cs="Arial" w:ascii="Arial" w:hAnsi="Arial"/>
                        </w:rPr>
                        <w:fldChar w:fldCharType="end"/>
                      </w:r>
                      <w:r>
                        <w:rPr>
                          <w:rFonts w:cs="Arial" w:ascii="Arial" w:hAnsi="Arial"/>
                          <w:smallCaps/>
                        </w:rPr>
                        <w:t>Washington, DC  20009</w:t>
                      </w:r>
                      <w:r>
                        <w:rPr>
                          <w:rFonts w:cs="WP TypographicSymbols" w:ascii="WP TypographicSymbols" w:hAnsi="WP TypographicSymbols"/>
                        </w:rPr>
                        <w:t>B</w:t>
                      </w:r>
                      <w:r>
                        <w:rPr>
                          <w:rFonts w:cs="Arial" w:ascii="Arial" w:hAnsi="Arial"/>
                          <w:smallCaps/>
                        </w:rPr>
                        <w:t>5728</w:t>
                      </w:r>
                    </w:p>
                  </w:txbxContent>
                </v:textbox>
                <w10:wrap type="square"/>
              </v:rect>
            </w:pict>
          </mc:Fallback>
        </mc:AlternateContent>
      </w:r>
    </w:p>
    <w:p>
      <w:pPr>
        <w:pStyle w:val="Heading"/>
        <w:rPr>
          <w:b/>
          <w:i/>
          <w:i/>
          <w:u w:val="none"/>
        </w:rPr>
      </w:pPr>
      <w:r>
        <w:rPr>
          <w:b/>
          <w:i/>
          <w:u w:val="none"/>
        </w:rPr>
        <w:t>Draft</w:t>
      </w:r>
    </w:p>
    <w:p>
      <w:pPr>
        <w:pStyle w:val="Heading"/>
        <w:rPr>
          <w:b/>
          <w:i/>
          <w:i/>
          <w:u w:val="none"/>
        </w:rPr>
      </w:pPr>
      <w:r>
        <w:rPr>
          <w:b/>
          <w:i/>
          <w:u w:val="none"/>
        </w:rPr>
        <w:t>Privileged and Confidential</w:t>
      </w:r>
    </w:p>
    <w:p>
      <w:pPr>
        <w:pStyle w:val="Normal"/>
        <w:ind w:firstLine="5040" w:end="0"/>
        <w:rPr>
          <w:rFonts w:ascii="Courier;Courier New" w:hAnsi="Courier;Courier New" w:cs="Courier;Courier New"/>
          <w:b/>
          <w:i/>
          <w:i/>
          <w:u w:val="none"/>
        </w:rPr>
      </w:pPr>
      <w:r>
        <w:rPr>
          <w:rFonts w:cs="Courier;Courier New" w:ascii="Courier;Courier New" w:hAnsi="Courier;Courier New"/>
          <w:b/>
          <w:i/>
          <w:u w:val="none"/>
        </w:rPr>
      </w:r>
    </w:p>
    <w:p>
      <w:pPr>
        <w:pStyle w:val="Normal"/>
        <w:ind w:firstLine="5040" w:end="0"/>
        <w:rPr>
          <w:rFonts w:ascii="Courier;Courier New" w:hAnsi="Courier;Courier New" w:cs="Courier;Courier New"/>
        </w:rPr>
      </w:pPr>
      <w:r>
        <w:rPr>
          <w:rFonts w:cs="Courier;Courier New" w:ascii="Courier;Courier New" w:hAnsi="Courier;Courier New"/>
        </w:rPr>
      </w:r>
    </w:p>
    <w:p>
      <w:pPr>
        <w:pStyle w:val="Normal"/>
        <w:ind w:firstLine="720" w:start="5760" w:end="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ing"/>
        <w:jc w:val="start"/>
        <w:rPr/>
      </w:pPr>
      <w:r>
        <w:rPr>
          <w:rStyle w:val="univers11"/>
          <w:rFonts w:cs="Arial" w:ascii="Arial" w:hAnsi="Arial"/>
          <w:u w:val="none"/>
        </w:rPr>
        <w:t>TO:</w:t>
      </w:r>
      <w:r>
        <w:rPr>
          <w:rFonts w:cs="Arial" w:ascii="Arial" w:hAnsi="Arial"/>
          <w:b/>
          <w:u w:val="none"/>
        </w:rPr>
        <w:tab/>
        <w:tab/>
      </w:r>
      <w:r>
        <w:rPr>
          <w:u w:val="none"/>
        </w:rPr>
        <w:t>Christi Nicolay</w:t>
      </w:r>
    </w:p>
    <w:p>
      <w:pPr>
        <w:pStyle w:val="Normal"/>
        <w:rPr>
          <w:u w:val="none"/>
        </w:rPr>
      </w:pPr>
      <w:r>
        <w:rPr>
          <w:u w:val="none"/>
        </w:rPr>
      </w:r>
    </w:p>
    <w:p>
      <w:pPr>
        <w:pStyle w:val="Normal"/>
        <w:tabs>
          <w:tab w:val="clear" w:pos="720"/>
          <w:tab w:val="left" w:pos="-1440" w:leader="none"/>
        </w:tabs>
        <w:rPr>
          <w:sz w:val="24"/>
        </w:rPr>
      </w:pPr>
      <w:r>
        <w:rPr>
          <w:rStyle w:val="univers11"/>
          <w:rFonts w:cs="Arial" w:ascii="Arial" w:hAnsi="Arial"/>
        </w:rPr>
        <w:t>FROM:</w:t>
      </w:r>
      <w:r>
        <w:rPr>
          <w:rStyle w:val="univers11"/>
          <w:rFonts w:cs="Arial" w:ascii="Arial" w:hAnsi="Arial"/>
          <w:b/>
        </w:rPr>
        <w:tab/>
        <w:tab/>
      </w:r>
      <w:r>
        <w:rPr>
          <w:rStyle w:val="univers11"/>
          <w:rFonts w:cs="Times New Roman"/>
          <w:sz w:val="24"/>
        </w:rPr>
        <w:t>LeBoeuf, Lamb, Greene &amp; MacRae, L.L.P.</w:t>
      </w:r>
    </w:p>
    <w:p>
      <w:pPr>
        <w:pStyle w:val="FootnoteText"/>
        <w:rPr>
          <w:sz w:val="24"/>
        </w:rPr>
      </w:pPr>
      <w:r>
        <w:rPr>
          <w:sz w:val="24"/>
        </w:rPr>
      </w:r>
    </w:p>
    <w:p>
      <w:pPr>
        <w:pStyle w:val="Normal"/>
        <w:tabs>
          <w:tab w:val="clear" w:pos="720"/>
          <w:tab w:val="left" w:pos="0" w:leader="none"/>
        </w:tabs>
        <w:ind w:hanging="1440" w:start="1440" w:end="0"/>
        <w:rPr/>
      </w:pPr>
      <w:r>
        <w:rPr>
          <w:rStyle w:val="univers11"/>
          <w:rFonts w:cs="Arial" w:ascii="Arial" w:hAnsi="Arial"/>
        </w:rPr>
        <w:t>RE:</w:t>
      </w:r>
      <w:r>
        <w:rPr>
          <w:rFonts w:cs="Arial" w:ascii="Arial" w:hAnsi="Arial"/>
        </w:rPr>
        <w:tab/>
      </w:r>
      <w:r>
        <w:rPr>
          <w:sz w:val="24"/>
        </w:rPr>
        <w:t>FERC Issues As To Structure of Newco</w:t>
      </w:r>
      <w:r>
        <w:rPr>
          <w:rFonts w:cs="Arial" w:ascii="Arial" w:hAnsi="Arial"/>
          <w:sz w:val="24"/>
        </w:rPr>
        <w:tab/>
        <w:tab/>
      </w:r>
    </w:p>
    <w:p>
      <w:pPr>
        <w:pStyle w:val="Normal"/>
        <w:tabs>
          <w:tab w:val="clear" w:pos="720"/>
          <w:tab w:val="left" w:pos="-1440" w:leader="none"/>
        </w:tabs>
        <w:ind w:firstLine="1440" w:end="0"/>
        <w:rPr>
          <w:rFonts w:ascii="Arial" w:hAnsi="Arial" w:cs="Arial"/>
          <w:sz w:val="24"/>
        </w:rPr>
      </w:pPr>
      <w:r>
        <w:rPr>
          <w:rFonts w:cs="Arial" w:ascii="Arial" w:hAnsi="Arial"/>
          <w:sz w:val="24"/>
        </w:rPr>
      </w:r>
    </w:p>
    <w:p>
      <w:pPr>
        <w:pStyle w:val="Heading"/>
        <w:rPr>
          <w:b/>
          <w:u w:val="none"/>
        </w:rPr>
      </w:pPr>
      <w:r>
        <w:rPr>
          <w:b/>
          <w:u w:val="none"/>
        </w:rPr>
        <w:tab/>
        <w:tab/>
        <w:tab/>
        <w:tab/>
        <w:tab/>
      </w:r>
    </w:p>
    <w:p>
      <w:pPr>
        <w:pStyle w:val="Heading"/>
        <w:rPr/>
      </w:pPr>
      <w:r>
        <w:rPr/>
        <w:t>Executive Summary</w:t>
      </w:r>
    </w:p>
    <w:p>
      <w:pPr>
        <w:pStyle w:val="Normal"/>
        <w:jc w:val="center"/>
        <w:rPr>
          <w:sz w:val="24"/>
          <w:u w:val="single"/>
        </w:rPr>
      </w:pPr>
      <w:r>
        <w:rPr>
          <w:sz w:val="24"/>
          <w:u w:val="single"/>
        </w:rPr>
      </w:r>
    </w:p>
    <w:p>
      <w:pPr>
        <w:pStyle w:val="Normal"/>
        <w:numPr>
          <w:ilvl w:val="0"/>
          <w:numId w:val="2"/>
        </w:numPr>
        <w:rPr>
          <w:sz w:val="24"/>
        </w:rPr>
      </w:pPr>
      <w:r>
        <w:rPr>
          <w:sz w:val="24"/>
        </w:rPr>
        <w:t>If Enron owns more than 10% of Newco, that will probably delay Newco’s ability to sell at market-based rates by 60 days or more, because of the new test for market power. We could ask for waiver by talking to staff soon. If we don’t get waiver, there are two options that might speed up the process somewhat:</w:t>
      </w:r>
    </w:p>
    <w:p>
      <w:pPr>
        <w:pStyle w:val="Normal"/>
        <w:ind w:start="720" w:end="0"/>
        <w:rPr>
          <w:sz w:val="24"/>
        </w:rPr>
      </w:pPr>
      <w:r>
        <w:rPr>
          <w:sz w:val="24"/>
        </w:rPr>
      </w:r>
    </w:p>
    <w:p>
      <w:pPr>
        <w:pStyle w:val="Normal"/>
        <w:ind w:start="720" w:end="0"/>
        <w:rPr/>
      </w:pPr>
      <w:r>
        <w:rPr>
          <w:sz w:val="24"/>
        </w:rPr>
        <w:t xml:space="preserve">                  </w:t>
      </w:r>
      <w:r>
        <w:rPr>
          <w:rFonts w:eastAsia="Wingdings" w:cs="Wingdings" w:ascii="Wingdings" w:hAnsi="Wingdings"/>
          <w:sz w:val="24"/>
        </w:rPr>
        <w:sym w:font="Wingdings" w:char="f09f"/>
        <w:sym w:font="Wingdings" w:char="f09f"/>
      </w:r>
      <w:r>
        <w:rPr>
          <w:sz w:val="24"/>
        </w:rPr>
        <w:t xml:space="preserve">  </w:t>
      </w:r>
      <w:r>
        <w:rPr>
          <w:sz w:val="24"/>
        </w:rPr>
        <w:t>1.  Newco could promise not to sell power into PGE’s control</w:t>
      </w:r>
    </w:p>
    <w:p>
      <w:pPr>
        <w:pStyle w:val="Normal"/>
        <w:ind w:start="720" w:end="0"/>
        <w:rPr>
          <w:sz w:val="24"/>
        </w:rPr>
      </w:pPr>
      <w:r>
        <w:rPr>
          <w:sz w:val="24"/>
        </w:rPr>
        <w:t xml:space="preserve">                      </w:t>
      </w:r>
      <w:r>
        <w:rPr>
          <w:sz w:val="24"/>
        </w:rPr>
        <w:t>area, until Enron fully divests of PGE; or</w:t>
      </w:r>
    </w:p>
    <w:p>
      <w:pPr>
        <w:pStyle w:val="Normal"/>
        <w:ind w:start="720" w:end="0"/>
        <w:rPr>
          <w:sz w:val="24"/>
        </w:rPr>
      </w:pPr>
      <w:r>
        <w:rPr>
          <w:sz w:val="24"/>
        </w:rPr>
      </w:r>
    </w:p>
    <w:p>
      <w:pPr>
        <w:pStyle w:val="Normal"/>
        <w:ind w:start="720" w:end="0"/>
        <w:rPr/>
      </w:pPr>
      <w:r>
        <w:rPr>
          <w:sz w:val="24"/>
        </w:rPr>
        <w:t xml:space="preserve">                  </w:t>
      </w:r>
      <w:r>
        <w:rPr>
          <w:rFonts w:eastAsia="Wingdings" w:cs="Wingdings" w:ascii="Wingdings" w:hAnsi="Wingdings"/>
          <w:sz w:val="24"/>
        </w:rPr>
        <w:sym w:font="Wingdings" w:char="f09f"/>
        <w:sym w:font="Wingdings" w:char="f09f"/>
      </w:r>
      <w:r>
        <w:rPr>
          <w:sz w:val="24"/>
        </w:rPr>
        <w:t xml:space="preserve">  </w:t>
      </w:r>
      <w:r>
        <w:rPr>
          <w:sz w:val="24"/>
        </w:rPr>
        <w:t>2.  Enron could merely take an option to purchase an interest</w:t>
      </w:r>
    </w:p>
    <w:p>
      <w:pPr>
        <w:pStyle w:val="Normal"/>
        <w:ind w:start="720" w:end="0"/>
        <w:rPr>
          <w:sz w:val="24"/>
        </w:rPr>
      </w:pPr>
      <w:r>
        <w:rPr>
          <w:sz w:val="24"/>
        </w:rPr>
        <w:t xml:space="preserve">                       </w:t>
      </w:r>
      <w:r>
        <w:rPr>
          <w:sz w:val="24"/>
        </w:rPr>
        <w:t>in Newco, and exercise that option only after it has sold PGE.</w:t>
      </w:r>
    </w:p>
    <w:p>
      <w:pPr>
        <w:pStyle w:val="Normal"/>
        <w:ind w:start="720" w:end="0"/>
        <w:rPr>
          <w:sz w:val="24"/>
        </w:rPr>
      </w:pPr>
      <w:r>
        <w:rPr>
          <w:sz w:val="24"/>
        </w:rPr>
        <w:t xml:space="preserve">                       </w:t>
      </w:r>
      <w:r>
        <w:rPr>
          <w:sz w:val="24"/>
        </w:rPr>
        <w:t>Exercising the option would still take FERC approval, but without</w:t>
      </w:r>
    </w:p>
    <w:p>
      <w:pPr>
        <w:pStyle w:val="Normal"/>
        <w:ind w:start="720" w:end="0"/>
        <w:rPr>
          <w:sz w:val="24"/>
        </w:rPr>
      </w:pPr>
      <w:r>
        <w:rPr>
          <w:sz w:val="24"/>
        </w:rPr>
        <w:t xml:space="preserve">                       </w:t>
      </w:r>
      <w:r>
        <w:rPr>
          <w:sz w:val="24"/>
        </w:rPr>
        <w:t xml:space="preserve">PGE approval should be easy to get. </w:t>
      </w:r>
    </w:p>
    <w:p>
      <w:pPr>
        <w:pStyle w:val="Normal"/>
        <w:ind w:start="720" w:end="0"/>
        <w:rPr>
          <w:sz w:val="24"/>
        </w:rPr>
      </w:pPr>
      <w:r>
        <w:rPr>
          <w:sz w:val="24"/>
        </w:rPr>
        <w:t xml:space="preserve">                      </w:t>
      </w:r>
    </w:p>
    <w:p>
      <w:pPr>
        <w:pStyle w:val="Normal"/>
        <w:numPr>
          <w:ilvl w:val="0"/>
          <w:numId w:val="2"/>
        </w:numPr>
        <w:rPr>
          <w:sz w:val="24"/>
        </w:rPr>
      </w:pPr>
      <w:r>
        <w:rPr>
          <w:sz w:val="24"/>
        </w:rPr>
        <w:t>Affiliation with Enron would also create “code of conduct” restrictions, which</w:t>
      </w:r>
    </w:p>
    <w:p>
      <w:pPr>
        <w:pStyle w:val="Normal"/>
        <w:ind w:start="1080" w:end="0"/>
        <w:rPr>
          <w:sz w:val="24"/>
        </w:rPr>
      </w:pPr>
      <w:r>
        <w:rPr>
          <w:sz w:val="24"/>
        </w:rPr>
        <w:t>would prohibit  communication between Newco and any energy-related affiliates.</w:t>
      </w:r>
    </w:p>
    <w:p>
      <w:pPr>
        <w:pStyle w:val="Normal"/>
        <w:ind w:start="1080" w:end="0"/>
        <w:rPr>
          <w:sz w:val="24"/>
        </w:rPr>
      </w:pPr>
      <w:r>
        <w:rPr>
          <w:sz w:val="24"/>
        </w:rPr>
        <w:t>These restrictions would go away when and if Enron divested all of its pipes and</w:t>
      </w:r>
    </w:p>
    <w:p>
      <w:pPr>
        <w:pStyle w:val="Normal"/>
        <w:ind w:start="1080" w:end="0"/>
        <w:rPr>
          <w:sz w:val="24"/>
        </w:rPr>
      </w:pPr>
      <w:r>
        <w:rPr>
          <w:sz w:val="24"/>
        </w:rPr>
        <w:t>wires. However, these restrictions are not much worse that what EPMI has been</w:t>
      </w:r>
    </w:p>
    <w:p>
      <w:pPr>
        <w:pStyle w:val="Normal"/>
        <w:ind w:start="1080" w:end="0"/>
        <w:rPr>
          <w:sz w:val="24"/>
        </w:rPr>
      </w:pPr>
      <w:r>
        <w:rPr>
          <w:sz w:val="24"/>
        </w:rPr>
        <w:t>Forced to live with in the past.</w:t>
      </w:r>
    </w:p>
    <w:p>
      <w:pPr>
        <w:pStyle w:val="Normal"/>
        <w:jc w:val="center"/>
        <w:rPr>
          <w:sz w:val="24"/>
          <w:u w:val="single"/>
        </w:rPr>
      </w:pPr>
      <w:r>
        <w:rPr>
          <w:sz w:val="24"/>
          <w:u w:val="single"/>
        </w:rPr>
      </w:r>
    </w:p>
    <w:p>
      <w:pPr>
        <w:pStyle w:val="BodyText"/>
        <w:numPr>
          <w:ilvl w:val="0"/>
          <w:numId w:val="2"/>
        </w:numPr>
        <w:rPr/>
      </w:pPr>
      <w:r>
        <w:rPr/>
        <w:t xml:space="preserve">From a code of conduct standpoint, it may be slightly more advantageous to have both gas and electric trading performed by the same entity. This point is moot under current law.  However, under one interpretation of a proposed rule, if Enron held an interest, gas marketers and electric marketers could not talk to each other if they were in different subsidiaries.  However, communication between gas and electric marketers in the same subsidiary would not be prohibited, even if the firm is affiliated with pipes or wires.  Thus, even if Enron owned an interest, gas and electric marketers in the same firm could still talk to each other.  No other FERC advantage/disadvantage to having both located in the same firm.   </w:t>
      </w:r>
    </w:p>
    <w:p>
      <w:pPr>
        <w:pStyle w:val="Normal"/>
        <w:rPr>
          <w:sz w:val="24"/>
        </w:rPr>
      </w:pPr>
      <w:r>
        <w:rPr>
          <w:sz w:val="24"/>
        </w:rPr>
        <w:t xml:space="preserve">        </w:t>
      </w:r>
    </w:p>
    <w:p>
      <w:pPr>
        <w:pStyle w:val="Normal"/>
        <w:numPr>
          <w:ilvl w:val="0"/>
          <w:numId w:val="2"/>
        </w:numPr>
        <w:tabs>
          <w:tab w:val="clear" w:pos="720"/>
          <w:tab w:val="left" w:pos="1080" w:leader="none"/>
          <w:tab w:val="left" w:pos="1170" w:leader="none"/>
        </w:tabs>
        <w:rPr>
          <w:sz w:val="24"/>
        </w:rPr>
      </w:pPr>
      <w:r>
        <w:rPr>
          <w:sz w:val="24"/>
        </w:rPr>
        <w:t>To create a full Newco quickly, it is important to avoid transferring any “jurisdictional facilities” under the Federal Power Act.  This includes all books, records, accounts, rate schedules or other documents which are “used in connection with” jurisdictional sales of power.</w:t>
      </w:r>
    </w:p>
    <w:p>
      <w:pPr>
        <w:pStyle w:val="BodyText"/>
        <w:tabs>
          <w:tab w:val="clear" w:pos="720"/>
          <w:tab w:val="left" w:pos="1080" w:leader="none"/>
        </w:tabs>
        <w:ind w:firstLine="360" w:start="720" w:end="0"/>
        <w:rPr>
          <w:sz w:val="24"/>
        </w:rPr>
      </w:pPr>
      <w:r>
        <w:rPr>
          <w:sz w:val="24"/>
        </w:rPr>
      </w:r>
    </w:p>
    <w:p>
      <w:pPr>
        <w:pStyle w:val="BodyText"/>
        <w:ind w:firstLine="720" w:end="0"/>
        <w:rPr/>
      </w:pPr>
      <w:r>
        <w:rPr/>
        <w:t xml:space="preserve">       </w:t>
      </w:r>
      <w:r>
        <w:rPr/>
        <w:t>Although there is no direct precedent as to computer software, there is a logical</w:t>
      </w:r>
    </w:p>
    <w:p>
      <w:pPr>
        <w:pStyle w:val="BodyText"/>
        <w:ind w:firstLine="720" w:end="0"/>
        <w:rPr/>
      </w:pPr>
      <w:r>
        <w:rPr/>
        <w:t>argument that it should not be considered a “jurisdictional facility.”  The Commission</w:t>
      </w:r>
    </w:p>
    <w:p>
      <w:pPr>
        <w:pStyle w:val="BodyText"/>
        <w:ind w:firstLine="720" w:end="0"/>
        <w:rPr/>
      </w:pPr>
      <w:r>
        <w:rPr/>
        <w:t>has disclaimed jurisdiction over brokers which use such software, but technically those</w:t>
      </w:r>
    </w:p>
    <w:p>
      <w:pPr>
        <w:pStyle w:val="BodyText"/>
        <w:ind w:firstLine="720" w:end="0"/>
        <w:rPr/>
      </w:pPr>
      <w:r>
        <w:rPr/>
        <w:t xml:space="preserve">brokers do not engage in “sales” under the FPA.  If the software does not contain data </w:t>
      </w:r>
    </w:p>
    <w:p>
      <w:pPr>
        <w:pStyle w:val="BodyText"/>
        <w:ind w:firstLine="720" w:end="0"/>
        <w:rPr/>
      </w:pPr>
      <w:r>
        <w:rPr/>
        <w:t xml:space="preserve">regarding past sales by EPMI, that argument should prevail.  The more data it contains, </w:t>
      </w:r>
    </w:p>
    <w:p>
      <w:pPr>
        <w:pStyle w:val="BodyText"/>
        <w:ind w:firstLine="720" w:end="0"/>
        <w:rPr/>
      </w:pPr>
      <w:r>
        <w:rPr/>
        <w:t>the harder it is to make that argument.   Because there is no precedent, obtaining any</w:t>
      </w:r>
    </w:p>
    <w:p>
      <w:pPr>
        <w:pStyle w:val="BodyText"/>
        <w:ind w:firstLine="720" w:end="0"/>
        <w:rPr/>
      </w:pPr>
      <w:r>
        <w:rPr/>
        <w:t>certainty would require clear guidance from FERC staff.</w:t>
      </w:r>
    </w:p>
    <w:p>
      <w:pPr>
        <w:pStyle w:val="Normal"/>
        <w:rPr>
          <w:sz w:val="24"/>
        </w:rPr>
      </w:pPr>
      <w:r>
        <w:rPr>
          <w:sz w:val="24"/>
        </w:rPr>
      </w:r>
    </w:p>
    <w:p>
      <w:pPr>
        <w:pStyle w:val="Normal"/>
        <w:numPr>
          <w:ilvl w:val="0"/>
          <w:numId w:val="5"/>
        </w:numPr>
        <w:rPr>
          <w:sz w:val="24"/>
        </w:rPr>
      </w:pPr>
      <w:r>
        <w:rPr>
          <w:sz w:val="24"/>
        </w:rPr>
        <w:t xml:space="preserve">No EPMI power contracts could be assigned to Newco without prior FERC approval. However, right now, EPMI could grant Newco (or anyone else) an option to acquire those contracts later.  Newco would not have to obtain FERC approval for the transfer of those contracts until it actually exercised those options.  </w:t>
      </w:r>
    </w:p>
    <w:p>
      <w:pPr>
        <w:pStyle w:val="Normal"/>
        <w:rPr>
          <w:b/>
          <w:sz w:val="24"/>
        </w:rPr>
      </w:pPr>
      <w:r>
        <w:rPr>
          <w:sz w:val="24"/>
        </w:rPr>
        <w:t xml:space="preserve">                   </w:t>
      </w:r>
    </w:p>
    <w:p>
      <w:pPr>
        <w:pStyle w:val="Heading1"/>
        <w:ind w:hanging="0" w:start="0"/>
        <w:rPr/>
      </w:pPr>
      <w:r>
        <w:rPr/>
        <w:t>FERC Implications of Enron’s Ownership Interest in Newco</w:t>
      </w:r>
    </w:p>
    <w:p>
      <w:pPr>
        <w:pStyle w:val="Normal"/>
        <w:rPr/>
      </w:pPr>
      <w:r>
        <w:rPr/>
      </w:r>
    </w:p>
    <w:p>
      <w:pPr>
        <w:pStyle w:val="Normal"/>
        <w:rPr>
          <w:sz w:val="24"/>
        </w:rPr>
      </w:pPr>
      <w:r>
        <w:rPr>
          <w:sz w:val="24"/>
        </w:rPr>
        <w:tab/>
        <w:tab/>
        <w:t>A.  The Market Power Issue.</w:t>
      </w:r>
    </w:p>
    <w:p>
      <w:pPr>
        <w:pStyle w:val="Normal"/>
        <w:rPr>
          <w:sz w:val="24"/>
        </w:rPr>
      </w:pPr>
      <w:r>
        <w:rPr>
          <w:sz w:val="24"/>
        </w:rPr>
      </w:r>
    </w:p>
    <w:p>
      <w:pPr>
        <w:pStyle w:val="Normal"/>
        <w:ind w:firstLine="720" w:end="0"/>
        <w:rPr>
          <w:sz w:val="24"/>
        </w:rPr>
      </w:pPr>
      <w:r>
        <w:rPr>
          <w:sz w:val="24"/>
        </w:rPr>
        <w:t xml:space="preserve">Having Newco be affiliated with Enron will probably delay Newco’s ability to sell power at market-based rates, and could delay it by 60 days or more.  This would happen because of FERC’s new Supply Margin Assessment (“SMA”) test for market power.  As long as Enron owns part of Newco, and also owns Portland General,  PGE’s capacity will be attributed to Newco, and an SMA test will be required.  The best result is delayed approval, and the worst is that Newco would simply fail the test and could not sell at market-based rates in control areas dominated by PGE.  </w:t>
      </w:r>
    </w:p>
    <w:p>
      <w:pPr>
        <w:pStyle w:val="Normal"/>
        <w:ind w:firstLine="720" w:end="0"/>
        <w:rPr>
          <w:sz w:val="24"/>
        </w:rPr>
      </w:pPr>
      <w:r>
        <w:rPr>
          <w:sz w:val="24"/>
        </w:rPr>
      </w:r>
    </w:p>
    <w:p>
      <w:pPr>
        <w:pStyle w:val="Normal"/>
        <w:ind w:firstLine="720" w:end="0"/>
        <w:rPr>
          <w:sz w:val="24"/>
        </w:rPr>
      </w:pPr>
      <w:r>
        <w:rPr>
          <w:sz w:val="24"/>
        </w:rPr>
        <w:t>To improve the chances of a swift FERC approval,  Newco could consider the following alternatives:</w:t>
      </w:r>
    </w:p>
    <w:p>
      <w:pPr>
        <w:pStyle w:val="Normal"/>
        <w:ind w:firstLine="720" w:end="0"/>
        <w:rPr>
          <w:sz w:val="24"/>
        </w:rPr>
      </w:pPr>
      <w:r>
        <w:rPr>
          <w:sz w:val="24"/>
        </w:rPr>
      </w:r>
    </w:p>
    <w:p>
      <w:pPr>
        <w:pStyle w:val="Normal"/>
        <w:numPr>
          <w:ilvl w:val="0"/>
          <w:numId w:val="2"/>
        </w:numPr>
        <w:rPr>
          <w:sz w:val="24"/>
        </w:rPr>
      </w:pPr>
      <w:r>
        <w:rPr>
          <w:sz w:val="24"/>
        </w:rPr>
        <w:t xml:space="preserve">Informally approach FERC staff about a waiver of the SMA test, on the grounds that </w:t>
      </w:r>
    </w:p>
    <w:p>
      <w:pPr>
        <w:pStyle w:val="Normal"/>
        <w:ind w:start="720" w:end="0"/>
        <w:rPr>
          <w:sz w:val="24"/>
        </w:rPr>
      </w:pPr>
      <w:r>
        <w:rPr>
          <w:sz w:val="24"/>
        </w:rPr>
        <w:t xml:space="preserve">      </w:t>
      </w:r>
      <w:r>
        <w:rPr>
          <w:sz w:val="24"/>
        </w:rPr>
        <w:t xml:space="preserve">we are trying to sell PGE and hope to do so in about six months.  If the staff is very </w:t>
      </w:r>
    </w:p>
    <w:p>
      <w:pPr>
        <w:pStyle w:val="Normal"/>
        <w:ind w:start="720" w:end="0"/>
        <w:rPr>
          <w:sz w:val="24"/>
        </w:rPr>
      </w:pPr>
      <w:r>
        <w:rPr>
          <w:sz w:val="24"/>
        </w:rPr>
        <w:t xml:space="preserve">      </w:t>
      </w:r>
      <w:r>
        <w:rPr>
          <w:sz w:val="24"/>
        </w:rPr>
        <w:t>clearly positive, file and ask for waiver formally.   If  staff is unsympathetic, then</w:t>
      </w:r>
    </w:p>
    <w:p>
      <w:pPr>
        <w:pStyle w:val="Normal"/>
        <w:ind w:firstLine="720" w:end="0"/>
        <w:rPr>
          <w:sz w:val="24"/>
        </w:rPr>
      </w:pPr>
      <w:r>
        <w:rPr>
          <w:sz w:val="24"/>
        </w:rPr>
      </w:r>
    </w:p>
    <w:p>
      <w:pPr>
        <w:pStyle w:val="Normal"/>
        <w:numPr>
          <w:ilvl w:val="0"/>
          <w:numId w:val="4"/>
        </w:numPr>
        <w:rPr>
          <w:sz w:val="24"/>
        </w:rPr>
      </w:pPr>
      <w:r>
        <w:rPr>
          <w:sz w:val="24"/>
        </w:rPr>
        <w:t>Agree that, until Enron sells PGE, Newco will not sell power at</w:t>
      </w:r>
    </w:p>
    <w:p>
      <w:pPr>
        <w:pStyle w:val="Normal"/>
        <w:ind w:firstLine="720" w:end="0"/>
        <w:rPr>
          <w:sz w:val="24"/>
        </w:rPr>
      </w:pPr>
      <w:r>
        <w:rPr>
          <w:sz w:val="24"/>
        </w:rPr>
        <w:t xml:space="preserve">      </w:t>
      </w:r>
      <w:r>
        <w:rPr>
          <w:sz w:val="24"/>
        </w:rPr>
        <w:t xml:space="preserve">market-based rates in the PGE control area or nearby control areas which PGE </w:t>
      </w:r>
    </w:p>
    <w:p>
      <w:pPr>
        <w:pStyle w:val="Normal"/>
        <w:ind w:firstLine="720" w:end="0"/>
        <w:rPr>
          <w:sz w:val="24"/>
        </w:rPr>
      </w:pPr>
      <w:r>
        <w:rPr>
          <w:sz w:val="24"/>
        </w:rPr>
        <w:t xml:space="preserve">      </w:t>
      </w:r>
      <w:r>
        <w:rPr>
          <w:sz w:val="24"/>
        </w:rPr>
        <w:t>may dominate; or,</w:t>
      </w:r>
    </w:p>
    <w:p>
      <w:pPr>
        <w:pStyle w:val="Normal"/>
        <w:ind w:firstLine="720" w:end="0"/>
        <w:rPr>
          <w:sz w:val="24"/>
        </w:rPr>
      </w:pPr>
      <w:r>
        <w:rPr>
          <w:sz w:val="24"/>
        </w:rPr>
        <w:t xml:space="preserve">   </w:t>
      </w:r>
      <w:r>
        <w:rPr>
          <w:sz w:val="24"/>
        </w:rPr>
        <w:t>.</w:t>
      </w:r>
    </w:p>
    <w:p>
      <w:pPr>
        <w:pStyle w:val="Normal"/>
        <w:tabs>
          <w:tab w:val="clear" w:pos="720"/>
          <w:tab w:val="left" w:pos="1080" w:leader="none"/>
        </w:tabs>
        <w:ind w:firstLine="720" w:end="0"/>
        <w:rPr/>
      </w:pPr>
      <w:r>
        <w:rPr>
          <w:rFonts w:eastAsia="Wingdings" w:cs="Wingdings" w:ascii="Wingdings" w:hAnsi="Wingdings"/>
          <w:sz w:val="24"/>
        </w:rPr>
        <w:sym w:font="Wingdings" w:char="f09f"/>
      </w:r>
      <w:r>
        <w:rPr>
          <w:sz w:val="24"/>
        </w:rPr>
        <w:t xml:space="preserve">    </w:t>
      </w:r>
      <w:r>
        <w:rPr>
          <w:sz w:val="24"/>
        </w:rPr>
        <w:t xml:space="preserve">Actually do a small SMA study, which could take a week or more and would </w:t>
      </w:r>
    </w:p>
    <w:p>
      <w:pPr>
        <w:pStyle w:val="Normal"/>
        <w:ind w:firstLine="720" w:end="0"/>
        <w:rPr>
          <w:sz w:val="24"/>
        </w:rPr>
      </w:pPr>
      <w:r>
        <w:rPr>
          <w:sz w:val="24"/>
        </w:rPr>
        <w:t xml:space="preserve">      </w:t>
      </w:r>
      <w:r>
        <w:rPr>
          <w:sz w:val="24"/>
        </w:rPr>
        <w:t xml:space="preserve">involve an expensive consultant, and then agree not to sell at market rates only </w:t>
      </w:r>
    </w:p>
    <w:p>
      <w:pPr>
        <w:pStyle w:val="Normal"/>
        <w:ind w:firstLine="720" w:end="0"/>
        <w:rPr>
          <w:sz w:val="24"/>
        </w:rPr>
      </w:pPr>
      <w:r>
        <w:rPr>
          <w:sz w:val="24"/>
        </w:rPr>
        <w:t xml:space="preserve">      </w:t>
      </w:r>
      <w:r>
        <w:rPr>
          <w:sz w:val="24"/>
        </w:rPr>
        <w:t xml:space="preserve">if the test shows that PGE dominates that area; or </w:t>
      </w:r>
    </w:p>
    <w:p>
      <w:pPr>
        <w:pStyle w:val="Normal"/>
        <w:ind w:start="840" w:end="0"/>
        <w:rPr>
          <w:sz w:val="24"/>
        </w:rPr>
      </w:pPr>
      <w:r>
        <w:rPr>
          <w:sz w:val="24"/>
        </w:rPr>
      </w:r>
    </w:p>
    <w:p>
      <w:pPr>
        <w:pStyle w:val="Normal"/>
        <w:numPr>
          <w:ilvl w:val="0"/>
          <w:numId w:val="3"/>
        </w:numPr>
        <w:ind w:hanging="360" w:start="1200" w:end="0"/>
        <w:rPr>
          <w:sz w:val="24"/>
        </w:rPr>
      </w:pPr>
      <w:r>
        <w:rPr>
          <w:sz w:val="24"/>
        </w:rPr>
        <w:t>Give Enron an option to purchase its interest after PGE has been sold, and</w:t>
      </w:r>
    </w:p>
    <w:p>
      <w:pPr>
        <w:pStyle w:val="Normal"/>
        <w:ind w:start="840" w:end="0"/>
        <w:rPr>
          <w:sz w:val="24"/>
        </w:rPr>
      </w:pPr>
      <w:r>
        <w:rPr>
          <w:sz w:val="24"/>
        </w:rPr>
        <w:t xml:space="preserve">    </w:t>
      </w:r>
      <w:r>
        <w:rPr>
          <w:sz w:val="24"/>
        </w:rPr>
        <w:t>eliminate the affiliation issue in the initial filing.  This would keep the issue</w:t>
      </w:r>
    </w:p>
    <w:p>
      <w:pPr>
        <w:pStyle w:val="Normal"/>
        <w:ind w:start="840" w:end="0"/>
        <w:rPr>
          <w:sz w:val="24"/>
        </w:rPr>
      </w:pPr>
      <w:r>
        <w:rPr>
          <w:sz w:val="24"/>
        </w:rPr>
        <w:t xml:space="preserve">    </w:t>
      </w:r>
      <w:r>
        <w:rPr>
          <w:sz w:val="24"/>
        </w:rPr>
        <w:t>from slowing down Newco’s ability to sell power at market-based rates.</w:t>
      </w:r>
    </w:p>
    <w:p>
      <w:pPr>
        <w:pStyle w:val="Normal"/>
        <w:ind w:start="840" w:end="0"/>
        <w:rPr>
          <w:sz w:val="24"/>
        </w:rPr>
      </w:pPr>
      <w:r>
        <w:rPr>
          <w:sz w:val="24"/>
        </w:rPr>
        <w:t xml:space="preserve">   </w:t>
      </w:r>
      <w:r>
        <w:rPr>
          <w:sz w:val="24"/>
        </w:rPr>
        <w:t>Enron would have to get future FERC approval before exercising its option,</w:t>
      </w:r>
    </w:p>
    <w:p>
      <w:pPr>
        <w:pStyle w:val="Normal"/>
        <w:ind w:start="840" w:end="0"/>
        <w:rPr>
          <w:sz w:val="24"/>
        </w:rPr>
      </w:pPr>
      <w:r>
        <w:rPr>
          <w:sz w:val="24"/>
        </w:rPr>
        <w:t xml:space="preserve">   </w:t>
      </w:r>
      <w:r>
        <w:rPr>
          <w:sz w:val="24"/>
        </w:rPr>
        <w:t xml:space="preserve">But (with PGE gone), that approval should be easy to obtain.. </w:t>
      </w:r>
    </w:p>
    <w:p>
      <w:pPr>
        <w:pStyle w:val="Normal"/>
        <w:rPr>
          <w:sz w:val="24"/>
        </w:rPr>
      </w:pPr>
      <w:r>
        <w:rPr>
          <w:sz w:val="24"/>
        </w:rPr>
      </w:r>
    </w:p>
    <w:p>
      <w:pPr>
        <w:pStyle w:val="BodyText"/>
        <w:ind w:firstLine="720" w:end="0"/>
        <w:rPr/>
      </w:pPr>
      <w:r>
        <w:rPr/>
        <w:t>Before choosing either of the more radical options, we should clearly meet with the Commission staff, to see whether waiver or a partial limit on market-based sales will be acceptable and will speed us through FERC on an expedited basis.  These points are explained below.</w:t>
      </w:r>
    </w:p>
    <w:p>
      <w:pPr>
        <w:pStyle w:val="Normal"/>
        <w:rPr>
          <w:sz w:val="24"/>
        </w:rPr>
      </w:pPr>
      <w:r>
        <w:rPr>
          <w:sz w:val="24"/>
        </w:rPr>
      </w:r>
    </w:p>
    <w:p>
      <w:pPr>
        <w:pStyle w:val="Normal"/>
        <w:rPr/>
      </w:pPr>
      <w:r>
        <w:rPr>
          <w:sz w:val="24"/>
        </w:rPr>
        <w:t xml:space="preserve">        </w:t>
      </w:r>
      <w:r>
        <w:rPr>
          <w:sz w:val="24"/>
        </w:rPr>
        <w:t xml:space="preserve">The SMA test was adopted, without a rulemaking or any opportunity for notice or comment, in a series of cases involving existing marketers.  </w:t>
      </w:r>
      <w:r>
        <w:rPr>
          <w:sz w:val="24"/>
          <w:u w:val="single"/>
        </w:rPr>
        <w:t>AEP Power Marketing, et al.</w:t>
      </w:r>
      <w:r>
        <w:rPr>
          <w:sz w:val="24"/>
        </w:rPr>
        <w:t xml:space="preserve">, 97 FERC ¶ 61,219 (November 20, 2001).  It will be challenged in court and may be overturned, but not in time to help us.   The SMA is a brand new market power test, which will be applied to new “market based rate applications on an interim basis,” until Final rules are put in place. </w:t>
      </w:r>
      <w:r>
        <w:rPr>
          <w:sz w:val="24"/>
          <w:u w:val="single"/>
        </w:rPr>
        <w:t>Id</w:t>
      </w:r>
      <w:r>
        <w:rPr>
          <w:sz w:val="24"/>
        </w:rPr>
        <w:t xml:space="preserve">. </w:t>
      </w:r>
      <w:r>
        <w:rPr>
          <w:i/>
          <w:sz w:val="24"/>
        </w:rPr>
        <w:t xml:space="preserve">slip op. </w:t>
      </w:r>
      <w:r>
        <w:rPr>
          <w:sz w:val="24"/>
        </w:rPr>
        <w:t xml:space="preserve">at 2.   Thus, Newco must with the SMA test.  </w:t>
      </w:r>
    </w:p>
    <w:p>
      <w:pPr>
        <w:pStyle w:val="Normal"/>
        <w:rPr>
          <w:sz w:val="24"/>
        </w:rPr>
      </w:pPr>
      <w:r>
        <w:rPr>
          <w:sz w:val="24"/>
        </w:rPr>
      </w:r>
    </w:p>
    <w:p>
      <w:pPr>
        <w:pStyle w:val="Normal"/>
        <w:rPr>
          <w:sz w:val="24"/>
        </w:rPr>
      </w:pPr>
      <w:r>
        <w:rPr>
          <w:sz w:val="24"/>
        </w:rPr>
        <w:t xml:space="preserve"> </w:t>
      </w:r>
      <w:r>
        <w:rPr>
          <w:sz w:val="24"/>
        </w:rPr>
        <w:tab/>
        <w:t>The SMA test turns on this point: if the applicant (or an affiliate) owns or controls capacity that is more than the supply margin in a control area, it will fail the test.  Supply margin, in turn, means the total generation which can reach the control area, in excess of load.  The test will involve a detailed review of transmission constraints, to determine which power can in fact reach the control area on an economic basis. (The transmission part of the study would be very similar to the work done by Dr. Hieronymus in the PGE – NWN merger filing).  If it fails the test, the applicant cannot sell power at market-based rates into that control areas.</w:t>
      </w:r>
    </w:p>
    <w:p>
      <w:pPr>
        <w:pStyle w:val="Normal"/>
        <w:rPr>
          <w:sz w:val="24"/>
        </w:rPr>
      </w:pPr>
      <w:r>
        <w:rPr>
          <w:sz w:val="24"/>
        </w:rPr>
      </w:r>
    </w:p>
    <w:p>
      <w:pPr>
        <w:pStyle w:val="Normal"/>
        <w:ind w:firstLine="720" w:end="0"/>
        <w:rPr>
          <w:sz w:val="24"/>
        </w:rPr>
      </w:pPr>
      <w:r>
        <w:rPr>
          <w:sz w:val="24"/>
        </w:rPr>
        <w:t xml:space="preserve">Aside from the possibility of failing, the most daunting thing about the SMA test is that no one has ever done one before.   Even if Newco waited until January to file, there would be no examples to use, and we would likely become a test case.  The Commission is normally required to act on a Section 205 filing within 60 days, 16 U.S.C. § 824d, but could suspend that time period, and may well take longer. </w:t>
      </w:r>
    </w:p>
    <w:p>
      <w:pPr>
        <w:pStyle w:val="Normal"/>
        <w:rPr>
          <w:sz w:val="24"/>
        </w:rPr>
      </w:pPr>
      <w:r>
        <w:rPr>
          <w:sz w:val="24"/>
        </w:rPr>
      </w:r>
    </w:p>
    <w:p>
      <w:pPr>
        <w:pStyle w:val="Normal"/>
        <w:ind w:firstLine="720" w:end="0"/>
        <w:rPr>
          <w:sz w:val="24"/>
        </w:rPr>
      </w:pPr>
      <w:r>
        <w:rPr>
          <w:sz w:val="24"/>
        </w:rPr>
        <w:t xml:space="preserve">For those reasons, immediate affiliation with Enron raises a significant FERC issue.  To attempt to prevent this issue from creating a lengthy delay, the client should consider one of the options spelled out above.  </w:t>
      </w:r>
    </w:p>
    <w:p>
      <w:pPr>
        <w:pStyle w:val="Normal"/>
        <w:rPr/>
      </w:pPr>
      <w:r>
        <w:rPr/>
        <w:t xml:space="preserve">    </w:t>
      </w:r>
    </w:p>
    <w:p>
      <w:pPr>
        <w:pStyle w:val="Normal"/>
        <w:ind w:start="720" w:end="0"/>
        <w:rPr>
          <w:sz w:val="24"/>
        </w:rPr>
      </w:pPr>
      <w:r>
        <w:rPr>
          <w:sz w:val="24"/>
        </w:rPr>
        <w:t>B   FERC’s Code of Conduct and Standards of Conduct Requirements</w:t>
      </w:r>
    </w:p>
    <w:p>
      <w:pPr>
        <w:pStyle w:val="Normal"/>
        <w:ind w:start="720" w:end="0"/>
        <w:rPr>
          <w:sz w:val="24"/>
        </w:rPr>
      </w:pPr>
      <w:r>
        <w:rPr>
          <w:sz w:val="24"/>
        </w:rPr>
      </w:r>
    </w:p>
    <w:p>
      <w:pPr>
        <w:pStyle w:val="Normal"/>
        <w:ind w:start="720" w:end="0"/>
        <w:rPr>
          <w:sz w:val="24"/>
        </w:rPr>
      </w:pPr>
      <w:r>
        <w:rPr>
          <w:sz w:val="24"/>
        </w:rPr>
        <w:t>1.</w:t>
        <w:tab/>
        <w:t>Code of Conduct</w:t>
      </w:r>
    </w:p>
    <w:p>
      <w:pPr>
        <w:pStyle w:val="Normal"/>
        <w:ind w:start="720" w:end="0"/>
        <w:rPr>
          <w:sz w:val="24"/>
        </w:rPr>
      </w:pPr>
      <w:r>
        <w:rPr>
          <w:sz w:val="24"/>
        </w:rPr>
      </w:r>
    </w:p>
    <w:p>
      <w:pPr>
        <w:pStyle w:val="Normal"/>
        <w:ind w:firstLine="720" w:end="0"/>
        <w:rPr/>
      </w:pPr>
      <w:r>
        <w:rPr>
          <w:sz w:val="24"/>
        </w:rPr>
        <w:t>The Commission’s Code of Conduct policy originated with the Commission’s early power marketing affiliate orders and preceded Order No. 889’s functional unbundling mandate.</w:t>
      </w:r>
      <w:r>
        <w:rPr>
          <w:rStyle w:val="FootnoteCharacters"/>
          <w:rStyle w:val="FootnoteReference"/>
        </w:rPr>
        <w:footnoteReference w:id="2"/>
      </w:r>
      <w:r>
        <w:rPr/>
        <w:t xml:space="preserve"> </w:t>
      </w:r>
      <w:r>
        <w:rPr>
          <w:sz w:val="24"/>
        </w:rPr>
        <w:t xml:space="preserve"> The Commission requires a Code of Conduct when a power marketer is affiliated with a public utility with a franchised service area and captive customers. The purpose of the Code of Conduct is to prevent the affiliates from acting in a manner that results in a transfer of benefits from the franchised utility and its ratepayers to the power marketer and its shareholders.</w:t>
      </w:r>
      <w:r>
        <w:rPr>
          <w:rStyle w:val="FootnoteCharacters"/>
          <w:rStyle w:val="FootnoteReference"/>
          <w:sz w:val="24"/>
        </w:rPr>
        <w:footnoteReference w:id="3"/>
      </w:r>
      <w:r>
        <w:rPr>
          <w:sz w:val="24"/>
        </w:rPr>
        <w:t xml:space="preserve">  To ensure that such affiliate abuse does not occur, an affiliated power marketer seeking market-based rates must demonstrate the absence of affiliate abuse.  The Code of Conduct is intended to implement procedures to ensure such abuses will not occur. </w:t>
      </w:r>
    </w:p>
    <w:p>
      <w:pPr>
        <w:pStyle w:val="Normal"/>
        <w:rPr>
          <w:sz w:val="24"/>
        </w:rPr>
      </w:pPr>
      <w:r>
        <w:rPr>
          <w:sz w:val="24"/>
        </w:rPr>
      </w:r>
    </w:p>
    <w:p>
      <w:pPr>
        <w:pStyle w:val="Normal"/>
        <w:rPr/>
      </w:pPr>
      <w:r>
        <w:rPr>
          <w:sz w:val="24"/>
        </w:rPr>
        <w:tab/>
        <w:t>Specifically, the Code of Conduct would require Newco to commit not to sell power to or buy power from PGE unless the Commission approved the transaction in a separate rate filing under Section 205 of the FPA.   In order to alleviate the Commission’s concerns regarding the sales of non-power goods and services provided on a preferential basis, all non-power goods and services that Newco may purchase from PGE must be priced at the higher of cost or market.</w:t>
      </w:r>
      <w:r>
        <w:rPr>
          <w:rStyle w:val="FootnoteReference"/>
          <w:sz w:val="24"/>
          <w:vertAlign w:val="superscript"/>
        </w:rPr>
        <w:footnoteReference w:id="4"/>
      </w:r>
      <w:r>
        <w:rPr>
          <w:sz w:val="24"/>
        </w:rPr>
        <w:t xml:space="preserve">  Similarly, any non-power goods or services provided by Newco to PGE must be priced at a level that does not exceed market price.</w:t>
      </w:r>
      <w:r>
        <w:rPr>
          <w:rStyle w:val="FootnoteReference"/>
          <w:sz w:val="24"/>
          <w:vertAlign w:val="superscript"/>
        </w:rPr>
        <w:footnoteReference w:id="5"/>
      </w:r>
      <w:r>
        <w:rPr>
          <w:sz w:val="24"/>
        </w:rPr>
        <w:t xml:space="preserve"> </w:t>
      </w:r>
    </w:p>
    <w:p>
      <w:pPr>
        <w:pStyle w:val="Normal"/>
        <w:rPr>
          <w:sz w:val="24"/>
        </w:rPr>
      </w:pPr>
      <w:r>
        <w:rPr>
          <w:sz w:val="24"/>
        </w:rPr>
      </w:r>
    </w:p>
    <w:p>
      <w:pPr>
        <w:pStyle w:val="Normal"/>
        <w:ind w:firstLine="720" w:end="0"/>
        <w:rPr>
          <w:sz w:val="24"/>
        </w:rPr>
      </w:pPr>
      <w:r>
        <w:rPr>
          <w:sz w:val="24"/>
        </w:rPr>
        <w:t xml:space="preserve">In </w:t>
      </w:r>
      <w:r>
        <w:rPr>
          <w:sz w:val="24"/>
          <w:u w:val="single"/>
        </w:rPr>
        <w:t>Heartland</w:t>
      </w:r>
      <w:r>
        <w:rPr>
          <w:sz w:val="24"/>
        </w:rPr>
        <w:t>, the Commission referred to the many ways that the affiliated power marketer and the franchise public utility could exchange information in a manner that would “exacerbate affiliate abuse concerns.”  Thus, the Code of Conduct imposes limits upon data that can be shared between a regulated utility and its power marketer affiliates. Pursuant to the Code of Conduct, all market information shared between Newco and PGE must be disclosed simultaneously to the public.  Thus, for example, if an employee of PGE communicates “</w:t>
      </w:r>
      <w:r>
        <w:rPr>
          <w:sz w:val="24"/>
          <w:u w:val="single"/>
        </w:rPr>
        <w:t>any</w:t>
      </w:r>
      <w:r>
        <w:rPr>
          <w:sz w:val="24"/>
        </w:rPr>
        <w:t xml:space="preserve"> information regarding the power sale or transmission business” to an employee of Newco, the standards will have been violated unless the information is posted immediately.</w:t>
      </w:r>
      <w:r>
        <w:rPr>
          <w:rStyle w:val="FootnoteCharacters"/>
          <w:rStyle w:val="FootnoteReference"/>
          <w:sz w:val="24"/>
        </w:rPr>
        <w:footnoteReference w:id="6"/>
      </w:r>
      <w:r>
        <w:rPr>
          <w:sz w:val="24"/>
        </w:rPr>
        <w:t xml:space="preserve">  In </w:t>
      </w:r>
      <w:r>
        <w:rPr>
          <w:sz w:val="24"/>
          <w:u w:val="single"/>
        </w:rPr>
        <w:t>MP Energy</w:t>
      </w:r>
      <w:r>
        <w:rPr>
          <w:sz w:val="24"/>
        </w:rPr>
        <w:t>, the Commission placed restrictions on the communication of  “</w:t>
      </w:r>
      <w:r>
        <w:rPr>
          <w:sz w:val="24"/>
          <w:u w:val="single"/>
        </w:rPr>
        <w:t>any</w:t>
      </w:r>
      <w:r>
        <w:rPr>
          <w:sz w:val="24"/>
        </w:rPr>
        <w:t xml:space="preserve"> information communication concerning the power or transmission business, broker related or not, present or future, positive or negative, concrete or potential, significant or slight.”</w:t>
      </w:r>
      <w:r>
        <w:rPr>
          <w:rStyle w:val="FootnoteReference"/>
          <w:sz w:val="24"/>
          <w:vertAlign w:val="superscript"/>
        </w:rPr>
        <w:footnoteReference w:id="7"/>
      </w:r>
    </w:p>
    <w:p>
      <w:pPr>
        <w:pStyle w:val="Normal"/>
        <w:ind w:firstLine="720" w:end="0"/>
        <w:rPr>
          <w:sz w:val="24"/>
        </w:rPr>
      </w:pPr>
      <w:r>
        <w:rPr>
          <w:sz w:val="24"/>
        </w:rPr>
      </w:r>
    </w:p>
    <w:p>
      <w:pPr>
        <w:pStyle w:val="BodyTextIndent3"/>
        <w:ind w:firstLine="720" w:start="0" w:end="0"/>
        <w:rPr/>
      </w:pPr>
      <w:r>
        <w:rPr/>
        <w:t xml:space="preserve">The definition of market information is so broad that FERC can apply it to almost anything. This gives FERC complete flexibility to punish the exchange of any information which gives the marketer a competitive advantage, and that seems logical.   However, the rule also handicaps parties who merely want to share data or employees for perfectly harmless reasons.  Thus, while it may be possible to defend the sharing of certain data as a matter of logic or even corporate duty, the sharing of “any information concerning the power or transmission business” is technically prohibited and creates a risk of selective enforcement. </w:t>
      </w:r>
    </w:p>
    <w:p>
      <w:pPr>
        <w:pStyle w:val="Normal"/>
        <w:ind w:firstLine="720" w:end="0"/>
        <w:rPr>
          <w:sz w:val="24"/>
        </w:rPr>
      </w:pPr>
      <w:r>
        <w:rPr>
          <w:sz w:val="24"/>
        </w:rPr>
      </w:r>
    </w:p>
    <w:p>
      <w:pPr>
        <w:pStyle w:val="Normal"/>
        <w:ind w:firstLine="720" w:end="0"/>
        <w:rPr>
          <w:sz w:val="24"/>
        </w:rPr>
      </w:pPr>
      <w:r>
        <w:rPr>
          <w:sz w:val="24"/>
        </w:rPr>
      </w:r>
    </w:p>
    <w:p>
      <w:pPr>
        <w:pStyle w:val="BodyTextIndent2"/>
        <w:tabs>
          <w:tab w:val="left" w:pos="270" w:leader="none"/>
          <w:tab w:val="left" w:pos="720" w:leader="none"/>
        </w:tabs>
        <w:ind w:hanging="0" w:start="0" w:end="0"/>
        <w:rPr/>
      </w:pPr>
      <w:r>
        <w:rPr/>
        <w:tab/>
        <w:tab/>
        <w:t xml:space="preserve">Due to the prohibition on sharing data, there are also restrictions on the positions that an individual may hold within a corporate family.  For example, there is a strong argument that it is </w:t>
      </w:r>
      <w:r>
        <w:rPr>
          <w:u w:val="single"/>
        </w:rPr>
        <w:t>per</w:t>
      </w:r>
      <w:r>
        <w:rPr/>
        <w:t xml:space="preserve"> </w:t>
      </w:r>
      <w:r>
        <w:rPr>
          <w:u w:val="single"/>
        </w:rPr>
        <w:t>se</w:t>
      </w:r>
      <w:r>
        <w:rPr/>
        <w:t xml:space="preserve"> unlawful for employees of an unregulated power marketer to also be employees of the affiliated regulated utility.  While it may be possible to demonstrate that a person could hold both positions without transmitting prohibited information, merely holding both positions creates an almost insurmountable burden of proof.   Even if the shared employee could convince FERC that there was no </w:t>
      </w:r>
      <w:r>
        <w:rPr>
          <w:u w:val="single"/>
        </w:rPr>
        <w:t>per</w:t>
      </w:r>
      <w:r>
        <w:rPr/>
        <w:t xml:space="preserve"> </w:t>
      </w:r>
      <w:r>
        <w:rPr>
          <w:u w:val="single"/>
        </w:rPr>
        <w:t>se</w:t>
      </w:r>
      <w:r>
        <w:rPr/>
        <w:t xml:space="preserve"> rule, he or she would still have to prove that he or she received no prohibited information from the regulated utility.   If prohibited information is defined as broadly as in </w:t>
      </w:r>
      <w:r>
        <w:rPr>
          <w:u w:val="single"/>
        </w:rPr>
        <w:t>MP Energy</w:t>
      </w:r>
      <w:r>
        <w:rPr/>
        <w:t>, that burden would be almost impossible to meet.  Thus, to the extent possible, Newco employees must operate separately from the employees of PGE.</w:t>
      </w:r>
    </w:p>
    <w:p>
      <w:pPr>
        <w:pStyle w:val="BodyTextIndent2"/>
        <w:tabs>
          <w:tab w:val="left" w:pos="270" w:leader="none"/>
          <w:tab w:val="left" w:pos="720" w:leader="none"/>
        </w:tabs>
        <w:ind w:hanging="0" w:start="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2.</w:t>
        <w:tab/>
        <w:t>Standards of 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4"/>
        </w:rPr>
      </w:pPr>
      <w:r>
        <w:rPr>
          <w:sz w:val="24"/>
        </w:rPr>
      </w:r>
    </w:p>
    <w:p>
      <w:pPr>
        <w:pStyle w:val="BodyTextIndent3"/>
        <w:ind w:firstLine="720" w:start="0" w:end="0"/>
        <w:rPr/>
      </w:pPr>
      <w:r>
        <w:rPr/>
        <w:t xml:space="preserve">Order No. 889 and the Commission’s regulations currently require transmission owners to develop Standards of Conduct and to create an Open Access Same Time Information System (“OASIS”). </w:t>
      </w:r>
      <w:r>
        <w:rPr>
          <w:rStyle w:val="FootnoteCharacters"/>
        </w:rPr>
        <w:t xml:space="preserve"> </w:t>
      </w:r>
      <w:r>
        <w:rPr/>
        <w:t xml:space="preserve">The purpose of the Standards of Conduct is to restrict the ability of electric utilities to give their marketing affiliates or wholesale merchant functions undue preferences over non-affiliated transmission customers.  Thus, the Standards of Conduct govern the separation between a transmission owner’s wholesale power merchant and electric transmission functions as well as the separation between its electric transmission function and its affiliates’ wholesale power merchant functions.  </w:t>
      </w:r>
    </w:p>
    <w:p>
      <w:pPr>
        <w:pStyle w:val="BodyTextIndent3"/>
        <w:ind w:firstLine="720" w:start="0" w:end="0"/>
        <w:rPr/>
      </w:pPr>
      <w:r>
        <w:rPr/>
      </w:r>
    </w:p>
    <w:p>
      <w:pPr>
        <w:pStyle w:val="BodyTextIndent3"/>
        <w:ind w:firstLine="720" w:start="0" w:end="0"/>
        <w:rPr/>
      </w:pPr>
      <w:r>
        <w:rPr/>
        <w:t>OASIS is a system by which the transmission provider makes transmission-related information available to all potential customers simultaneously.  The Standards of Conduct ensure that employees of a transmission owning public utility or its affiliates engaged in merchant functions do not have preferential information regarding the prices and availability of transmission capacity.  To this end, the Commission's Standard of Conduct regulations expressly prohibit any employee of a transmission provider engaged in wholesale power merchant functions or any employee of a transmission provider’s affiliate engaged in wholesale power merchant functions from:  (1) conducting transmission system operations or reliability functions; and (2) having access to the system control center or similar facilities used for transmission operations or reliability functions that differ in any way from the access available to other open access transmission customers.</w:t>
      </w:r>
      <w:r>
        <w:rPr>
          <w:rStyle w:val="FootnoteCharacters"/>
          <w:rStyle w:val="FootnoteReference"/>
        </w:rPr>
        <w:footnoteReference w:id="8"/>
      </w:r>
    </w:p>
    <w:p>
      <w:pPr>
        <w:pStyle w:val="BodyTextIndent3"/>
        <w:ind w:firstLine="720" w:start="0" w:end="0"/>
        <w:rPr/>
      </w:pPr>
      <w:r>
        <w:rPr/>
      </w:r>
    </w:p>
    <w:p>
      <w:pPr>
        <w:pStyle w:val="Normal"/>
        <w:ind w:firstLine="720" w:end="0"/>
        <w:rPr/>
      </w:pPr>
      <w:r>
        <w:rPr>
          <w:sz w:val="24"/>
        </w:rPr>
        <w:t>Also to prevent the preferential treatment of the wholesale merchant function, the Commission requires that any employee of the transmission provider or any affiliate engaging in wholesale merchant functions:  (1) only have access to information available to the transmission provider's open access customers (i.e., OASIS); and (2) must not have preferential access to any information about the transmission provider's transmission system that is not available to all users of an OASIS.</w:t>
      </w:r>
      <w:r>
        <w:rPr>
          <w:rStyle w:val="FootnoteCharacters"/>
          <w:rStyle w:val="FootnoteReference"/>
          <w:sz w:val="24"/>
        </w:rPr>
        <w:footnoteReference w:id="9"/>
      </w:r>
      <w:r>
        <w:rPr>
          <w:sz w:val="24"/>
        </w:rPr>
        <w:t xml:space="preserve">  Wholesale merchant employees must not obtain information about the transmission provider's transmission system through access to information that is not posted on the OASIS, or that is not otherwise also available to the general public without restriction, or through information on the OASIS that is not also publicly available to all OASIS users.</w:t>
      </w:r>
      <w:r>
        <w:rPr>
          <w:rStyle w:val="FootnoteCharacters"/>
          <w:rStyle w:val="FootnoteReference"/>
          <w:sz w:val="24"/>
        </w:rPr>
        <w:footnoteReference w:id="10"/>
      </w:r>
      <w:r>
        <w:rPr>
          <w:sz w:val="24"/>
        </w:rPr>
        <w:t xml:space="preserve">  </w:t>
      </w:r>
    </w:p>
    <w:p>
      <w:pPr>
        <w:pStyle w:val="Normal"/>
        <w:ind w:firstLine="720" w:start="-720" w:end="0"/>
        <w:rPr>
          <w:sz w:val="24"/>
        </w:rPr>
      </w:pPr>
      <w:r>
        <w:rPr>
          <w:sz w:val="24"/>
        </w:rPr>
      </w:r>
    </w:p>
    <w:p>
      <w:pPr>
        <w:pStyle w:val="Normal"/>
        <w:ind w:firstLine="720" w:end="0"/>
        <w:rPr/>
      </w:pPr>
      <w:r>
        <w:rPr>
          <w:sz w:val="24"/>
        </w:rPr>
        <w:t>Similarly, the Standards of Conduct prohibit any employee engaged in transmission system operations or reliability functions from disclosing to wholesale merchant function employees any information concerning the transmission system of the transmission provider or another utility's transmission system through:  (1) non-public communications conducted off the OASIS; (2) access to information not posted on the OASIS that is not at the same time available to the general public with restriction; or (3) information on the OASIS that is not at the same time publicly available to all OASIS users (</w:t>
      </w:r>
      <w:r>
        <w:rPr>
          <w:sz w:val="24"/>
          <w:u w:val="single"/>
        </w:rPr>
        <w:t>i.e.</w:t>
      </w:r>
      <w:r>
        <w:rPr>
          <w:sz w:val="24"/>
        </w:rPr>
        <w:t>, e-mail).</w:t>
      </w:r>
      <w:r>
        <w:rPr>
          <w:rStyle w:val="FootnoteCharacters"/>
          <w:rStyle w:val="FootnoteReference"/>
          <w:sz w:val="24"/>
        </w:rPr>
        <w:footnoteReference w:id="11"/>
      </w:r>
      <w:r>
        <w:rPr>
          <w:sz w:val="24"/>
        </w:rPr>
        <w:t xml:space="preserve">  Included in this prohibition is information received from non-affiliates and such information as ATC, price, curtailments, or ancillary services.</w:t>
      </w:r>
    </w:p>
    <w:p>
      <w:pPr>
        <w:pStyle w:val="Normal"/>
        <w:ind w:firstLine="720" w:end="0"/>
        <w:rPr>
          <w:sz w:val="24"/>
        </w:rPr>
      </w:pPr>
      <w:r>
        <w:rPr>
          <w:sz w:val="24"/>
        </w:rPr>
      </w:r>
    </w:p>
    <w:p>
      <w:pPr>
        <w:pStyle w:val="Normal"/>
        <w:ind w:firstLine="720" w:end="0"/>
        <w:rPr/>
      </w:pPr>
      <w:r>
        <w:rPr>
          <w:sz w:val="24"/>
        </w:rPr>
        <w:t>The Commission's regulations imply that transmission system operations and wholesale merchant functions may not share employees.  However, in subsequent case law, the Commission has refused to find that the Standards of Conduct were intended as an absolute bar against sharing employees.</w:t>
      </w:r>
      <w:r>
        <w:rPr>
          <w:rStyle w:val="FootnoteCharacters"/>
          <w:rStyle w:val="FootnoteReference"/>
          <w:sz w:val="24"/>
        </w:rPr>
        <w:footnoteReference w:id="12"/>
      </w:r>
      <w:r>
        <w:rPr>
          <w:sz w:val="24"/>
        </w:rPr>
        <w:t xml:space="preserve">  Instead, the Commission set forth the following standard for employee sharing:</w:t>
      </w:r>
    </w:p>
    <w:p>
      <w:pPr>
        <w:pStyle w:val="Normal"/>
        <w:ind w:start="1440" w:end="0"/>
        <w:jc w:val="both"/>
        <w:rPr>
          <w:sz w:val="24"/>
        </w:rPr>
      </w:pPr>
      <w:r>
        <w:rPr>
          <w:sz w:val="24"/>
        </w:rPr>
      </w:r>
    </w:p>
    <w:p>
      <w:pPr>
        <w:pStyle w:val="Normal"/>
        <w:ind w:start="720" w:end="720"/>
        <w:jc w:val="both"/>
        <w:rPr/>
      </w:pPr>
      <w:r>
        <w:rPr>
          <w:sz w:val="24"/>
        </w:rPr>
        <w:t>Transmission providers may allow senior managers, officers or directors to have ultimate responsibility for both transmission system operations and wholesale merchant functions, as long as the persons with shared responsibilities do not participate in directing, organizing or executing transmission system operations or reliability functions or wholesale merchant functions.  Further, transmission providers may share "support" staff, such as legal counsel, accounting services and data processing who do not participate in these activities.</w:t>
      </w:r>
      <w:r>
        <w:rPr>
          <w:rStyle w:val="FootnoteCharacters"/>
          <w:rStyle w:val="FootnoteReference"/>
          <w:sz w:val="24"/>
        </w:rPr>
        <w:footnoteReference w:id="13"/>
      </w:r>
      <w:r>
        <w:rPr>
          <w:sz w:val="24"/>
        </w:rPr>
        <w:t xml:space="preserve">  </w:t>
      </w:r>
    </w:p>
    <w:p>
      <w:pPr>
        <w:pStyle w:val="Normal"/>
        <w:ind w:start="1440" w:end="450"/>
        <w:jc w:val="both"/>
        <w:rPr>
          <w:sz w:val="24"/>
        </w:rPr>
      </w:pPr>
      <w:r>
        <w:rPr>
          <w:sz w:val="24"/>
        </w:rPr>
        <w:t xml:space="preserve"> </w:t>
      </w:r>
    </w:p>
    <w:p>
      <w:pPr>
        <w:pStyle w:val="Normal"/>
        <w:rPr/>
      </w:pPr>
      <w:r>
        <w:rPr>
          <w:sz w:val="24"/>
        </w:rPr>
        <w:t>However, the Commission cautioned that the Standards preclude all employees, including employees with broad responsibilities and support staff, from acting as conduits for improper communications between transmission operations employees and wholesale merchant employees.</w:t>
      </w:r>
      <w:r>
        <w:rPr>
          <w:rStyle w:val="FootnoteCharacters"/>
          <w:rStyle w:val="FootnoteReference"/>
          <w:sz w:val="24"/>
        </w:rPr>
        <w:footnoteReference w:id="14"/>
      </w:r>
      <w:r>
        <w:rPr>
          <w:sz w:val="24"/>
        </w:rPr>
        <w:t xml:space="preserve"> </w:t>
      </w:r>
    </w:p>
    <w:p>
      <w:pPr>
        <w:pStyle w:val="Normal"/>
        <w:rPr>
          <w:sz w:val="24"/>
        </w:rPr>
      </w:pPr>
      <w:r>
        <w:rPr>
          <w:sz w:val="24"/>
        </w:rPr>
      </w:r>
    </w:p>
    <w:p>
      <w:pPr>
        <w:pStyle w:val="BodyTextIndent3"/>
        <w:ind w:firstLine="720" w:start="0" w:end="-90"/>
        <w:rPr/>
      </w:pPr>
      <w:r>
        <w:rPr/>
        <w:t>In a Notice of Proposed Rulemaking (“NOPR”) issued September 27, 2001, the Commission proposed to promulgate new Standards of Conduct regulations that would apply uniformly to natural gas pipelines and transmitting public utilities.</w:t>
      </w:r>
      <w:r>
        <w:rPr>
          <w:rStyle w:val="FootnoteCharacters"/>
          <w:rStyle w:val="FootnoteReference"/>
        </w:rPr>
        <w:footnoteReference w:id="15"/>
      </w:r>
      <w:r>
        <w:rPr/>
        <w:t xml:space="preserve">  Therein, the Commission proposed that one set of Standards of Conduct would govern the relationships between regulated transmission providers and all their energy affiliates, not just those engaged in marketing or sales functions.  Thus, under the proposed rules, uniform Standards of Conduct would apply to natural gas pipelines and electric transmission providers.</w:t>
      </w:r>
      <w:r>
        <w:rPr>
          <w:rStyle w:val="FootnoteCharacters"/>
          <w:rStyle w:val="FootnoteReference"/>
        </w:rPr>
        <w:footnoteReference w:id="16"/>
      </w:r>
      <w:r>
        <w:rPr/>
        <w:t xml:space="preserve">  </w:t>
      </w:r>
    </w:p>
    <w:p>
      <w:pPr>
        <w:pStyle w:val="BodyTextIndent3"/>
        <w:ind w:firstLine="720" w:end="-720"/>
        <w:rPr/>
      </w:pPr>
      <w:r>
        <w:rPr/>
      </w:r>
    </w:p>
    <w:p>
      <w:pPr>
        <w:pStyle w:val="BodyTextIndent3"/>
        <w:ind w:firstLine="720" w:start="0" w:end="0"/>
        <w:rPr/>
      </w:pPr>
      <w:r>
        <w:rPr/>
        <w:t xml:space="preserve">Significantly, the NOPR expands application of the new Standards to the relationship between a transmission provider and any of its “energy affiliates” and possibly to communications among all energy affiliates.  The proposed Standards define “energy affiliate” as an affiliate of a transmission provider that (1) engages in transmission (electric and gas) transactions; (2) manages or controls transmission capacity; (3) buys, sells, trades or administers natural gas or electric energy; or (4) engages in financial transactions related to the sale or transmission of natural gas or electric energy.  As so defined, it would appear that the proposed Standards would apply to relationships between pipeline affiliates even between affiliates which do not themselves own any pipes or wires.  We consider this implication to be an oversight on the Commission’s part.  At least one Commissioner and several Staffers have recently revealed that they did not intend the proposed requirements to place restrictions on the relationship of affiliated transmission providers.  As proposed, however, that is exactly what the requirements appear to do.  If the FERC Staffers and Commissioner are incorrect, this could mean that the restrictions in the new Standards of Conduct would place significant restrictions on the communication of information between Newco, PGE and Enron’s affiliated pipelines. </w:t>
      </w:r>
    </w:p>
    <w:p>
      <w:pPr>
        <w:pStyle w:val="BodyTextIndent3"/>
        <w:ind w:firstLine="720" w:start="0" w:end="0"/>
        <w:rPr/>
      </w:pPr>
      <w:r>
        <w:rPr/>
      </w:r>
      <w:r>
        <w:br w:type="page"/>
      </w:r>
    </w:p>
    <w:p>
      <w:pPr>
        <w:pStyle w:val="BodyTextIndent3"/>
        <w:numPr>
          <w:ilvl w:val="0"/>
          <w:numId w:val="7"/>
        </w:numPr>
        <w:rPr/>
      </w:pPr>
      <w:r>
        <w:rPr/>
        <w:t>Natural Gas Pipeline Standards of Conduct</w:t>
      </w:r>
    </w:p>
    <w:p>
      <w:pPr>
        <w:pStyle w:val="BodyTextIndent3"/>
        <w:ind w:start="0" w:end="0"/>
        <w:rPr/>
      </w:pPr>
      <w:r>
        <w:rPr/>
      </w:r>
    </w:p>
    <w:p>
      <w:pPr>
        <w:pStyle w:val="BodyTextIndent3"/>
        <w:tabs>
          <w:tab w:val="clear" w:pos="720"/>
          <w:tab w:val="left" w:pos="0" w:leader="none"/>
        </w:tabs>
        <w:ind w:start="0" w:end="0"/>
        <w:rPr/>
      </w:pPr>
      <w:r>
        <w:rPr/>
        <w:tab/>
        <w:t>In 1988, interstate natural gas pipeline standards of conduct were promulgated to address possible abuses in the relationship between interstate natural gas pipelines and their marketing or brokering entities in the provision of transportation services.</w:t>
      </w:r>
      <w:r>
        <w:rPr>
          <w:rStyle w:val="FootnoteCharacters"/>
          <w:rStyle w:val="FootnoteReference"/>
        </w:rPr>
        <w:footnoteReference w:id="17"/>
      </w:r>
      <w:r>
        <w:rPr/>
        <w:t xml:space="preserve">  These Standards of Conduct are codified in section 161.3 of the Commission’s regulations.</w:t>
      </w:r>
      <w:r>
        <w:rPr>
          <w:rStyle w:val="FootnoteCharacters"/>
          <w:rStyle w:val="FootnoteReference"/>
        </w:rPr>
        <w:footnoteReference w:id="18"/>
      </w:r>
      <w:r>
        <w:rPr/>
        <w:t xml:space="preserve">  The gas standards of conduct require that a pipeline not give marketing affiliates preference over nonaffiliated customers in matters relating to transportation, such as scheduling, balancing, storage or curtailment priority.  A pipeline may not disclose to its marketing affiliate any information the pipeline receives from a nonaffiliated shipper or potential nonaffiliated shipper.  If transportation information is provided to a marketing affiliate, the pipeline must provide the same information contemporaneously to all potential shippers, affiliated and nonaffiliated, on its system.  In addition, employees of the pipeline must operate independently from employees of its marketing affiliate and must function independently of each other.</w:t>
      </w:r>
    </w:p>
    <w:p>
      <w:pPr>
        <w:pStyle w:val="Normal"/>
        <w:ind w:start="720" w:end="0"/>
        <w:rPr>
          <w:sz w:val="24"/>
        </w:rPr>
      </w:pPr>
      <w:r>
        <w:rPr>
          <w:sz w:val="24"/>
        </w:rPr>
      </w:r>
    </w:p>
    <w:p>
      <w:pPr>
        <w:pStyle w:val="Normal"/>
        <w:numPr>
          <w:ilvl w:val="0"/>
          <w:numId w:val="6"/>
        </w:numPr>
        <w:rPr>
          <w:sz w:val="24"/>
        </w:rPr>
      </w:pPr>
      <w:r>
        <w:rPr>
          <w:sz w:val="24"/>
        </w:rPr>
        <w:t>Enron’s Ownership Interest of 10 Percent or More in Newco would Implicate Code of Conduct Requirements</w:t>
      </w:r>
    </w:p>
    <w:p>
      <w:pPr>
        <w:pStyle w:val="Normal"/>
        <w:rPr>
          <w:sz w:val="24"/>
        </w:rPr>
      </w:pPr>
      <w:r>
        <w:rPr>
          <w:sz w:val="24"/>
        </w:rPr>
      </w:r>
    </w:p>
    <w:p>
      <w:pPr>
        <w:pStyle w:val="Normal"/>
        <w:ind w:firstLine="720" w:end="0"/>
        <w:rPr/>
      </w:pPr>
      <w:r>
        <w:rPr>
          <w:sz w:val="24"/>
        </w:rPr>
        <w:t xml:space="preserve">As explained above, the Code of Conduct governs the relationship between the power marketer and its affiliated franchised utility.  In </w:t>
      </w:r>
      <w:r>
        <w:rPr>
          <w:sz w:val="24"/>
          <w:u w:val="single"/>
        </w:rPr>
        <w:t>Morgan Stanley Capital Group, Inc.,</w:t>
      </w:r>
      <w:r>
        <w:rPr>
          <w:sz w:val="24"/>
        </w:rPr>
        <w:t xml:space="preserve"> the Commission provided guidance as to when an affiliate relationship would exists under Part II of the FPA.</w:t>
      </w:r>
      <w:r>
        <w:rPr>
          <w:rStyle w:val="FootnoteCharacters"/>
          <w:rStyle w:val="FootnoteReference"/>
          <w:sz w:val="24"/>
        </w:rPr>
        <w:footnoteReference w:id="19"/>
      </w:r>
      <w:r>
        <w:rPr>
          <w:sz w:val="24"/>
        </w:rPr>
        <w:t xml:space="preserve">  Therein, the Commission stated, </w:t>
      </w:r>
    </w:p>
    <w:p>
      <w:pPr>
        <w:pStyle w:val="Normal"/>
        <w:rPr>
          <w:sz w:val="24"/>
        </w:rPr>
      </w:pPr>
      <w:r>
        <w:rPr>
          <w:sz w:val="24"/>
        </w:rPr>
      </w:r>
    </w:p>
    <w:p>
      <w:pPr>
        <w:pStyle w:val="Normal"/>
        <w:ind w:start="720" w:end="0"/>
        <w:rPr/>
      </w:pPr>
      <w:r>
        <w:rPr>
          <w:sz w:val="24"/>
        </w:rPr>
        <w:t>[t]he Commission believes that it is appropriate, in the move toward competitive bulk power markets, to adopt a definition of affiliation that will provide greater certainty to all market participants.  To this end, we announce that all non-EWG public utilities should . . . define “affiliate” as that term is used in the Commission’s regulations regarding Standards of Conduct for Interstate Pipelines with Marketing Affiliates, for matters arising under Part II of the FPA.  Under section 161.2 of the Commission’s regulations, a voting interest of 10 percent creates a rebuttable presumption of control for purposes of determining the existence of an affiliate relationship.</w:t>
      </w:r>
      <w:r>
        <w:rPr>
          <w:rStyle w:val="FootnoteCharacters"/>
          <w:rStyle w:val="FootnoteReference"/>
          <w:sz w:val="24"/>
        </w:rPr>
        <w:footnoteReference w:id="20"/>
      </w:r>
      <w:r>
        <w:rPr>
          <w:sz w:val="24"/>
        </w:rPr>
        <w:t xml:space="preserve">  </w:t>
      </w:r>
    </w:p>
    <w:p>
      <w:pPr>
        <w:pStyle w:val="Normal"/>
        <w:ind w:firstLine="720" w:end="0"/>
        <w:rPr>
          <w:sz w:val="24"/>
        </w:rPr>
      </w:pPr>
      <w:r>
        <w:rPr>
          <w:sz w:val="24"/>
        </w:rPr>
      </w:r>
    </w:p>
    <w:p>
      <w:pPr>
        <w:pStyle w:val="Normal"/>
        <w:rPr/>
      </w:pPr>
      <w:r>
        <w:rPr>
          <w:sz w:val="24"/>
        </w:rPr>
        <w:t>Thus, absent other evidence of authority to control or cause the direction of the management of the entity seeking market-based rate authority, it would appear that a franchised public utility with less than a 10 percent voting interest in the power marketer would not be deemed an affiliate for purposes of the Commission’s Code of Conduct requirements.</w:t>
      </w:r>
      <w:r>
        <w:rPr>
          <w:rStyle w:val="FootnoteCharacters"/>
          <w:rStyle w:val="FootnoteReference"/>
          <w:sz w:val="24"/>
        </w:rPr>
        <w:footnoteReference w:id="21"/>
      </w:r>
      <w:r>
        <w:rPr>
          <w:sz w:val="24"/>
        </w:rPr>
        <w:t xml:space="preserve">  </w:t>
      </w:r>
    </w:p>
    <w:p>
      <w:pPr>
        <w:pStyle w:val="Normal"/>
        <w:rPr>
          <w:sz w:val="24"/>
        </w:rPr>
      </w:pPr>
      <w:r>
        <w:rPr>
          <w:sz w:val="24"/>
        </w:rPr>
      </w:r>
    </w:p>
    <w:p>
      <w:pPr>
        <w:pStyle w:val="Normal"/>
        <w:rPr/>
      </w:pPr>
      <w:r>
        <w:rPr/>
        <w:t xml:space="preserve">               </w:t>
      </w:r>
      <w:r>
        <w:rPr>
          <w:sz w:val="24"/>
        </w:rPr>
        <w:t xml:space="preserve">At present, however, the rules do not prohibit gas traders and electric traders from talking to each other, if they are housed within the same company.  That is the only FERC issue which seems to be affected by the decision as to whether to have both sets of traders housed in the same entity. </w:t>
      </w:r>
    </w:p>
    <w:p>
      <w:pPr>
        <w:pStyle w:val="Heading1"/>
        <w:numPr>
          <w:ilvl w:val="0"/>
          <w:numId w:val="0"/>
        </w:numPr>
        <w:ind w:hanging="0" w:start="0"/>
        <w:rPr>
          <w:sz w:val="24"/>
        </w:rPr>
      </w:pPr>
      <w:r>
        <w:rPr>
          <w:sz w:val="24"/>
        </w:rPr>
      </w:r>
    </w:p>
    <w:p>
      <w:pPr>
        <w:pStyle w:val="Heading1"/>
        <w:ind w:hanging="0" w:start="0"/>
        <w:rPr/>
      </w:pPr>
      <w:r>
        <w:rPr/>
        <w:t>Section 203 Limits on What Can Be Transferred Now, and What Can Be Transferred Later.</w:t>
      </w:r>
    </w:p>
    <w:p>
      <w:pPr>
        <w:pStyle w:val="Normal"/>
        <w:rPr/>
      </w:pPr>
      <w:r>
        <w:rPr/>
      </w:r>
    </w:p>
    <w:p>
      <w:pPr>
        <w:pStyle w:val="Normal"/>
        <w:ind w:firstLine="720" w:end="0"/>
        <w:rPr>
          <w:sz w:val="24"/>
        </w:rPr>
      </w:pPr>
      <w:r>
        <w:rPr>
          <w:sz w:val="24"/>
        </w:rPr>
        <w:t>The scope of the FERC’s jurisdiction over dispositions of jurisdictional facilities is broad.  Section 203(a) of the Federal Power Act (“FPA”) provides:</w:t>
      </w:r>
    </w:p>
    <w:p>
      <w:pPr>
        <w:pStyle w:val="Normal"/>
        <w:rPr>
          <w:sz w:val="24"/>
        </w:rPr>
      </w:pPr>
      <w:r>
        <w:rPr>
          <w:sz w:val="24"/>
        </w:rPr>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ind w:start="1440" w:end="0"/>
        <w:rPr>
          <w:sz w:val="24"/>
        </w:rPr>
      </w:pPr>
      <w:r>
        <w:rPr>
          <w:sz w:val="24"/>
        </w:rPr>
        <w:t>No public utility shall sell, lease, or otherwise dispose of the whole of its facilities subject to the jurisdiction of the Commission, or any part thereof, or by any means whatsoever, directly or indirectly, merge or consolidate such facilities or any part thereof with those of any other person, or purchase, acquire or take any security of any other public utility, without first having secured an order of the Commission authorizing it to do so.</w:t>
      </w:r>
      <w:r>
        <w:rPr>
          <w:rStyle w:val="FootnoteReference"/>
          <w:sz w:val="24"/>
          <w:vertAlign w:val="superscript"/>
        </w:rPr>
        <w:footnoteReference w:id="22"/>
      </w:r>
    </w:p>
    <w:p>
      <w:pPr>
        <w:pStyle w:val="Normal"/>
        <w:rPr>
          <w:sz w:val="24"/>
        </w:rPr>
      </w:pPr>
      <w:r>
        <w:rPr>
          <w:sz w:val="24"/>
        </w:rPr>
      </w:r>
    </w:p>
    <w:p>
      <w:pPr>
        <w:pStyle w:val="Normal"/>
        <w:rPr/>
      </w:pPr>
      <w:r>
        <w:rPr>
          <w:sz w:val="24"/>
        </w:rPr>
        <w:t xml:space="preserve">In </w:t>
      </w:r>
      <w:r>
        <w:rPr>
          <w:sz w:val="24"/>
          <w:u w:val="single"/>
        </w:rPr>
        <w:t>Hartford Electric Light Company v. FPC</w:t>
      </w:r>
      <w:r>
        <w:rPr>
          <w:sz w:val="24"/>
        </w:rPr>
        <w:t xml:space="preserve">, the Second Circuit interpreted the term “facilities” broadly to encompass “contracts, accounts, memoranda, papers and other records, in so far as they are utilized in connection with such [jurisdictional] sales.”  </w:t>
      </w:r>
      <w:r>
        <w:rPr>
          <w:sz w:val="24"/>
          <w:u w:val="single"/>
        </w:rPr>
        <w:t>Hartford Electric Light Company v. FPC</w:t>
      </w:r>
      <w:r>
        <w:rPr>
          <w:sz w:val="24"/>
        </w:rPr>
        <w:t xml:space="preserve">, 131 F.2d 953, 961 (2nd Cir. 1942), </w:t>
      </w:r>
      <w:r>
        <w:rPr>
          <w:sz w:val="24"/>
          <w:u w:val="single"/>
        </w:rPr>
        <w:t>cert. denied</w:t>
      </w:r>
      <w:r>
        <w:rPr>
          <w:sz w:val="24"/>
        </w:rPr>
        <w:t xml:space="preserve">, 319 U.S. 741 (1943).  The Commission has applied the holding of  </w:t>
      </w:r>
      <w:r>
        <w:rPr>
          <w:sz w:val="24"/>
          <w:u w:val="single"/>
        </w:rPr>
        <w:t>Hartford Elect. Light Co.</w:t>
      </w:r>
      <w:r>
        <w:rPr>
          <w:sz w:val="24"/>
        </w:rPr>
        <w:t xml:space="preserve"> in cases involving power marketer contracts and the proposed transfers or assignments of those wholesale power agreements.</w:t>
      </w:r>
    </w:p>
    <w:p>
      <w:pPr>
        <w:pStyle w:val="Normal"/>
        <w:rPr>
          <w:sz w:val="24"/>
        </w:rPr>
      </w:pPr>
      <w:r>
        <w:rPr>
          <w:sz w:val="24"/>
        </w:rPr>
      </w:r>
    </w:p>
    <w:p>
      <w:pPr>
        <w:pStyle w:val="Normal"/>
        <w:ind w:firstLine="720" w:end="0"/>
        <w:rPr/>
      </w:pPr>
      <w:r>
        <w:rPr>
          <w:sz w:val="24"/>
        </w:rPr>
        <w:t xml:space="preserve">Relying on </w:t>
      </w:r>
      <w:r>
        <w:rPr>
          <w:sz w:val="24"/>
          <w:u w:val="single"/>
        </w:rPr>
        <w:t>Hartford</w:t>
      </w:r>
      <w:r>
        <w:rPr>
          <w:sz w:val="24"/>
        </w:rPr>
        <w:t xml:space="preserve">, the FERC held that the contracts of power marketers are jurisdictional facilities and that power marketers are therefore public utilities under the FPA.  </w:t>
      </w:r>
      <w:r>
        <w:rPr>
          <w:sz w:val="24"/>
          <w:u w:val="single"/>
        </w:rPr>
        <w:t>Citizens Energy Corp.</w:t>
      </w:r>
      <w:r>
        <w:rPr>
          <w:sz w:val="24"/>
        </w:rPr>
        <w:t>, 35 FERC ¶ 61,198, at 61,452-3 (1986).  Following the same logic, the FERC has held that the disposition of a power marketer’s contract by assignment is a disposition requiring the FERC’s prior approval under Section 203 of the FPA:</w:t>
      </w:r>
    </w:p>
    <w:p>
      <w:pPr>
        <w:pStyle w:val="Normal"/>
        <w:rPr>
          <w:sz w:val="24"/>
        </w:rPr>
      </w:pPr>
      <w:r>
        <w:rPr>
          <w:sz w:val="24"/>
        </w:rPr>
      </w:r>
    </w:p>
    <w:p>
      <w:pPr>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pPr>
    </w:p>
    <w:p>
      <w:pPr>
        <w:pStyle w:val="Normal"/>
        <w:rPr>
          <w:sz w:val="24"/>
        </w:rPr>
      </w:pPr>
      <w:r>
        <w:rPr>
          <w:sz w:val="24"/>
        </w:rPr>
        <w:t>We disagree that power sales contracts are not jurisdictional facilities under the FPA.  In fact, for power marketers who own no physical transmission or generation facilities, power sales contracts are the very assets - or `facilities’ - by which they engage in sales for resales in interstate commerce.  In other words, power sales contracts are the `facilities’ which make power marketers jurisdictional public utilities under the FPA.  Accordingly, Enron’s assignment of any of its contracts (with a value exceeding $50,000) for the jurisdictional sale of electric energy requires section 203 authorization.</w:t>
      </w:r>
    </w:p>
    <w:p>
      <w:pPr>
        <w:sectPr>
          <w:footnotePr>
            <w:numFmt w:val="decimal"/>
          </w:footnotePr>
          <w:type w:val="continuous"/>
          <w:pgSz w:w="12240" w:h="15840"/>
          <w:pgMar w:left="2520" w:right="2520" w:gutter="0" w:header="0" w:top="1440" w:footer="720" w:bottom="1440"/>
          <w:formProt w:val="false"/>
          <w:titlePg/>
          <w:textDirection w:val="lrTb"/>
          <w:docGrid w:type="default" w:linePitch="360" w:charSpace="0"/>
        </w:sectPr>
      </w:pPr>
    </w:p>
    <w:p>
      <w:pPr>
        <w:pStyle w:val="Normal"/>
        <w:rPr>
          <w:sz w:val="24"/>
        </w:rPr>
      </w:pPr>
      <w:r>
        <w:rPr>
          <w:sz w:val="24"/>
        </w:rPr>
      </w:r>
    </w:p>
    <w:p>
      <w:pPr>
        <w:pStyle w:val="Normal"/>
        <w:rPr/>
      </w:pPr>
      <w:r>
        <w:rPr>
          <w:sz w:val="24"/>
        </w:rPr>
        <w:t xml:space="preserve"> </w:t>
      </w:r>
      <w:r>
        <w:rPr>
          <w:sz w:val="24"/>
          <w:u w:val="single"/>
        </w:rPr>
        <w:t>Enron Power Marketing, Inc.</w:t>
      </w:r>
      <w:r>
        <w:rPr>
          <w:sz w:val="24"/>
        </w:rPr>
        <w:t xml:space="preserve">, 64 FERC ¶ 61,305, p. 62,405 (1993), </w:t>
      </w:r>
      <w:r>
        <w:rPr>
          <w:sz w:val="24"/>
          <w:u w:val="single"/>
        </w:rPr>
        <w:t>order on clarification and reh’g</w:t>
      </w:r>
      <w:r>
        <w:rPr>
          <w:sz w:val="24"/>
        </w:rPr>
        <w:t xml:space="preserve">, 66 FERC ¶ 61,244 (1994) (footnote omitted). </w:t>
      </w:r>
    </w:p>
    <w:p>
      <w:pPr>
        <w:pStyle w:val="Normal"/>
        <w:rPr>
          <w:sz w:val="24"/>
        </w:rPr>
      </w:pPr>
      <w:r>
        <w:rPr>
          <w:sz w:val="24"/>
        </w:rPr>
      </w:r>
    </w:p>
    <w:p>
      <w:pPr>
        <w:pStyle w:val="Normal"/>
        <w:rPr/>
      </w:pPr>
      <w:r>
        <w:rPr>
          <w:sz w:val="24"/>
        </w:rPr>
        <w:tab/>
        <w:t xml:space="preserve">In </w:t>
      </w:r>
      <w:r>
        <w:rPr>
          <w:sz w:val="24"/>
          <w:u w:val="single"/>
        </w:rPr>
        <w:t>NorAm Energy Services, Inc.</w:t>
      </w:r>
      <w:r>
        <w:rPr>
          <w:sz w:val="24"/>
        </w:rPr>
        <w:t>, 79 FERC ¶  61,108 (1997), the Commission re-emphasized its view that there is no distinction between a power marketer’s paper facilities and a traditional public utility’s facilities.  In that case, NorAm Energy Services, Inc. (“NorAm”), a power marketer, filed a notice of change in status with the Commission, informing the FERC of the proposed merger of its parent company with an exempt public utility holding company and that holding company’s subsidiary, an electric utility located in the Electric Reliability Council of Texas.  Shortly thereafter, the Commission initiated an inquiry into the jurisdiction of the merger referred to in that notice of change in status.  In its response to the Commission’s inquiry, NorAm argued that because it is a power marketer, it should be treated “differently from other public utilities for purposes of analyzing section 203 jurisdiction.”  The Commission refused to acknowledge any such distinction:</w:t>
      </w:r>
    </w:p>
    <w:p>
      <w:pPr>
        <w:pStyle w:val="Normal"/>
        <w:rPr>
          <w:sz w:val="24"/>
        </w:rPr>
      </w:pPr>
      <w:r>
        <w:rPr>
          <w:sz w:val="24"/>
        </w:rPr>
      </w:r>
    </w:p>
    <w:p>
      <w:pPr>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pPr>
    </w:p>
    <w:p>
      <w:pPr>
        <w:pStyle w:val="Normal"/>
        <w:rPr>
          <w:sz w:val="24"/>
        </w:rPr>
      </w:pPr>
      <w:r>
        <w:rPr>
          <w:sz w:val="24"/>
        </w:rPr>
        <w:t xml:space="preserve">The fact that NorAm is not a `traditional’ public utility, but owns only `paper’ facilities rather than physical utility facilities (such as transmission lines) does not mean that its facilities are any less subject to the Commission’s jurisdiction than if they were physical utility facilities.  Those paper facilities, which include wholesale power sales contracts and books and records by which NorAm engages in jurisdictional sales at wholesale in interstate commerce, are jurisdictional facilities under section 201 of the FPA, and therefore are also jurisdictional facilities under section 203.  As in Enova-Pacific, we find that the disposition of such facilities is subject to our jurisdiction under section 203.    </w:t>
      </w:r>
    </w:p>
    <w:p>
      <w:pPr>
        <w:sectPr>
          <w:footnotePr>
            <w:numFmt w:val="decimal"/>
          </w:footnotePr>
          <w:type w:val="continuous"/>
          <w:pgSz w:w="12240" w:h="15840"/>
          <w:pgMar w:left="2520" w:right="2520" w:gutter="0" w:header="0" w:top="1440" w:footer="720" w:bottom="1440"/>
          <w:formProt w:val="false"/>
          <w:titlePg/>
          <w:textDirection w:val="lrTb"/>
          <w:docGrid w:type="default" w:linePitch="360" w:charSpace="0"/>
        </w:sectPr>
      </w:pPr>
    </w:p>
    <w:p>
      <w:pPr>
        <w:pStyle w:val="Normal"/>
        <w:rPr>
          <w:sz w:val="24"/>
        </w:rPr>
      </w:pPr>
      <w:r>
        <w:rPr>
          <w:sz w:val="24"/>
        </w:rPr>
      </w:r>
    </w:p>
    <w:p>
      <w:pPr>
        <w:pStyle w:val="Normal"/>
        <w:rPr>
          <w:sz w:val="24"/>
        </w:rPr>
      </w:pPr>
      <w:r>
        <w:rPr>
          <w:sz w:val="24"/>
        </w:rPr>
        <w:t>79 FERC ¶ 61,108, 61,500 (1997).</w:t>
      </w:r>
    </w:p>
    <w:p>
      <w:pPr>
        <w:pStyle w:val="Normal"/>
        <w:rPr>
          <w:sz w:val="24"/>
        </w:rPr>
      </w:pPr>
      <w:r>
        <w:rPr>
          <w:sz w:val="24"/>
        </w:rPr>
        <w:t xml:space="preserve">    </w:t>
      </w:r>
    </w:p>
    <w:p>
      <w:pPr>
        <w:pStyle w:val="Normal"/>
        <w:rPr/>
      </w:pPr>
      <w:r>
        <w:rPr>
          <w:sz w:val="24"/>
        </w:rPr>
        <w:tab/>
        <w:t xml:space="preserve">The Commission applied the principle set forth in </w:t>
      </w:r>
      <w:r>
        <w:rPr>
          <w:sz w:val="24"/>
          <w:u w:val="single"/>
        </w:rPr>
        <w:t>Enron Power</w:t>
      </w:r>
      <w:r>
        <w:rPr>
          <w:sz w:val="24"/>
        </w:rPr>
        <w:t xml:space="preserve"> regarding its jurisdiction over the disposition of power marketer’s wholesale sales contracts to an Application seeking Section 203 approval for a proposed transfer of wholesale power agreements between power marketer affiliates.  </w:t>
      </w:r>
      <w:r>
        <w:rPr>
          <w:sz w:val="24"/>
          <w:u w:val="single"/>
        </w:rPr>
        <w:t>PanEnergy Power Services, Inc. et al.</w:t>
      </w:r>
      <w:r>
        <w:rPr>
          <w:sz w:val="24"/>
        </w:rPr>
        <w:t>, 77 FERC ¶ 62,029 (1996). Specifically, the Application sought FERC authorization pursuant to Section 203 for the transfer of wholesale power agreements from PanEnergy Power Services, Inc. (“PanEnergy Power”)</w:t>
      </w:r>
      <w:r>
        <w:rPr>
          <w:rStyle w:val="FootnoteReference"/>
          <w:sz w:val="24"/>
          <w:vertAlign w:val="superscript"/>
        </w:rPr>
        <w:footnoteReference w:id="23"/>
      </w:r>
      <w:r>
        <w:rPr>
          <w:sz w:val="24"/>
        </w:rPr>
        <w:t xml:space="preserve"> to PTMSI Management, Inc. (“PTMSI”)</w:t>
      </w:r>
      <w:r>
        <w:rPr>
          <w:rStyle w:val="FootnoteReference"/>
          <w:sz w:val="24"/>
          <w:vertAlign w:val="superscript"/>
        </w:rPr>
        <w:footnoteReference w:id="24"/>
      </w:r>
      <w:r>
        <w:rPr>
          <w:sz w:val="24"/>
        </w:rPr>
        <w:t xml:space="preserve"> and the subsequent transfer of wholesale power agreements from PTMSI to PanEnergy Trading and Market Services, L.L.C. (“PanEnergy Trading”).</w:t>
      </w:r>
      <w:r>
        <w:rPr>
          <w:rStyle w:val="FootnoteReference"/>
          <w:sz w:val="24"/>
          <w:vertAlign w:val="superscript"/>
        </w:rPr>
        <w:footnoteReference w:id="25"/>
      </w:r>
      <w:r>
        <w:rPr>
          <w:sz w:val="24"/>
        </w:rPr>
        <w:t xml:space="preserve">  In the order authorizing the transfer of jurisdictional facilities, the Commission considered the scope of its jurisdiction over such transactions.              </w:t>
      </w:r>
    </w:p>
    <w:p>
      <w:pPr>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pPr>
    </w:p>
    <w:p>
      <w:pPr>
        <w:pStyle w:val="Normal"/>
        <w:rPr/>
      </w:pPr>
      <w:r>
        <w:rPr>
          <w:sz w:val="24"/>
        </w:rPr>
        <w:t xml:space="preserve">[B]oth PanEnergy Power and PanEnergy Trading are public utilities that are authorized to engage in wholesale electric power and energy transactions as marketers.  In </w:t>
      </w:r>
      <w:r>
        <w:rPr>
          <w:sz w:val="24"/>
          <w:u w:val="single"/>
        </w:rPr>
        <w:t>Enron Power Marketing, Inc.</w:t>
      </w:r>
      <w:r>
        <w:rPr>
          <w:sz w:val="24"/>
        </w:rPr>
        <w:t xml:space="preserve">, the Commission found that power sales contracts of electric power marketers constitute their jurisdictional facilities and the assignment of such agreements requires section 203 authorization.  Consequently, the transfer of power sales agreements from PanEnergy Power to PTMSI, and the simultaneous transfer of these agreements from PTMSI to PanEnergy Trading requires approval under section 203.  </w:t>
      </w:r>
    </w:p>
    <w:p>
      <w:pPr>
        <w:pStyle w:val="Normal"/>
        <w:rPr>
          <w:sz w:val="24"/>
        </w:rPr>
      </w:pPr>
      <w:r>
        <w:rPr>
          <w:sz w:val="24"/>
        </w:rPr>
      </w:r>
    </w:p>
    <w:p>
      <w:pPr>
        <w:pStyle w:val="Normal"/>
        <w:rPr>
          <w:sz w:val="24"/>
        </w:rPr>
      </w:pPr>
      <w:r>
        <w:rPr>
          <w:sz w:val="24"/>
        </w:rPr>
        <w:t xml:space="preserve">77 FERC at 64,058.  </w:t>
      </w:r>
    </w:p>
    <w:p>
      <w:pPr>
        <w:pStyle w:val="Normal"/>
        <w:rPr>
          <w:sz w:val="24"/>
        </w:rPr>
      </w:pPr>
      <w:r>
        <w:rPr>
          <w:sz w:val="24"/>
        </w:rPr>
      </w:r>
    </w:p>
    <w:p>
      <w:pPr>
        <w:pStyle w:val="Normal"/>
        <w:ind w:firstLine="720" w:end="0"/>
        <w:rPr>
          <w:sz w:val="24"/>
        </w:rPr>
      </w:pPr>
      <w:r>
        <w:rPr>
          <w:sz w:val="24"/>
        </w:rPr>
        <w:t>While a power marketer’s contracts are jurisdictional facilities, other assets vital to a power marketer’s business are arguably not jurisdictional facilities.  These assets are the databases of contacts, market information and expertise of employees.  The basis for arguing that these facilities are not jurisdictional is that they are identical to the assets of a broker which puts buyers and sellers together but does not take title to any power.  The FERC has held that brokers are not public utilities under the FPA.</w:t>
      </w:r>
      <w:r>
        <w:rPr>
          <w:rStyle w:val="FootnoteReference"/>
          <w:sz w:val="24"/>
          <w:vertAlign w:val="superscript"/>
        </w:rPr>
        <w:footnoteReference w:id="26"/>
      </w:r>
    </w:p>
    <w:p>
      <w:pPr>
        <w:pStyle w:val="Normal"/>
        <w:rPr>
          <w:sz w:val="24"/>
        </w:rPr>
      </w:pPr>
      <w:r>
        <w:rPr>
          <w:sz w:val="24"/>
        </w:rPr>
      </w:r>
    </w:p>
    <w:p>
      <w:pPr>
        <w:pStyle w:val="Normal"/>
        <w:rPr/>
      </w:pPr>
      <w:r>
        <w:rPr>
          <w:sz w:val="24"/>
        </w:rPr>
        <w:tab/>
        <w:t xml:space="preserve">To be sure, under </w:t>
      </w:r>
      <w:r>
        <w:rPr>
          <w:sz w:val="24"/>
          <w:u w:val="single"/>
        </w:rPr>
        <w:t>Hartford Elect. Light Co.</w:t>
      </w:r>
      <w:r>
        <w:rPr>
          <w:sz w:val="24"/>
        </w:rPr>
        <w:t xml:space="preserve">, jurisdictional facilities include a company’s “corporate organization, contracts, accounts, memoranda, papers and other records. . . .”  But this is subject to the important proviso that these items are jurisdictional facilities only “in so far as they are utilized in connection with such [wholesale] sales.”  131 F.2d 953, 961.  If EPMI is transferring only data bases that contain information, and the information is not is not linked to the making of wholesale sales, the two prongs of </w:t>
      </w:r>
      <w:r>
        <w:rPr>
          <w:sz w:val="24"/>
          <w:u w:val="single"/>
        </w:rPr>
        <w:t>Hartford Elect. Light Co</w:t>
      </w:r>
      <w:r>
        <w:rPr>
          <w:sz w:val="24"/>
        </w:rPr>
        <w:t xml:space="preserve">. are not met. Moreover, the assets that EPMI will be transferring are similar to the assets an electric broker would have -- information useful for identifying buyers and sellers and the means to put the two into contact.  The FERC has ruled that brokering is not a jurisdictional activity and that brokers are not public utilities.  </w:t>
      </w:r>
      <w:r>
        <w:rPr>
          <w:sz w:val="24"/>
          <w:u w:val="single"/>
        </w:rPr>
        <w:t>See</w:t>
      </w:r>
      <w:r>
        <w:rPr>
          <w:sz w:val="24"/>
        </w:rPr>
        <w:t xml:space="preserve">, </w:t>
      </w:r>
      <w:r>
        <w:rPr>
          <w:sz w:val="24"/>
          <w:u w:val="single"/>
        </w:rPr>
        <w:t>e.g.</w:t>
      </w:r>
      <w:r>
        <w:rPr>
          <w:sz w:val="24"/>
        </w:rPr>
        <w:t xml:space="preserve">, </w:t>
      </w:r>
      <w:r>
        <w:rPr>
          <w:sz w:val="24"/>
          <w:u w:val="single"/>
        </w:rPr>
        <w:t>Washington Water Power Co.</w:t>
      </w:r>
      <w:r>
        <w:rPr>
          <w:sz w:val="24"/>
        </w:rPr>
        <w:t xml:space="preserve">, 74 FERC ¶ 61,033, at 61,084 (1996) (“The Commission has consistently held that brokers -- who merely bring willing buyers and sellers together, and who do not take title to the electricity . . . -- fall outside its FPA jurisdiction.”);  </w:t>
      </w:r>
      <w:r>
        <w:rPr>
          <w:sz w:val="24"/>
          <w:u w:val="single"/>
        </w:rPr>
        <w:t>LG&amp;E Power Mktg., Inc.</w:t>
      </w:r>
      <w:r>
        <w:rPr>
          <w:sz w:val="24"/>
        </w:rPr>
        <w:t xml:space="preserve">, 68 FERC ¶ 61,247 (1994); </w:t>
      </w:r>
      <w:r>
        <w:rPr>
          <w:sz w:val="24"/>
          <w:u w:val="single"/>
        </w:rPr>
        <w:t>Citizens Energy Corp.</w:t>
      </w:r>
      <w:r>
        <w:rPr>
          <w:sz w:val="24"/>
        </w:rPr>
        <w:t xml:space="preserve">, 35 FERC ¶ 61,198, at 61,452-53 (1986).  Therefore, the FERC’s prior approval for the sale of these assets under Section 203 should not be required. </w:t>
      </w:r>
    </w:p>
    <w:p>
      <w:pPr>
        <w:pStyle w:val="Normal"/>
        <w:rPr>
          <w:sz w:val="24"/>
        </w:rPr>
      </w:pPr>
      <w:r>
        <w:rPr>
          <w:sz w:val="24"/>
        </w:rPr>
      </w:r>
    </w:p>
    <w:p>
      <w:pPr>
        <w:pStyle w:val="BodyTextIndent"/>
        <w:rPr/>
      </w:pPr>
      <w:r>
        <w:rPr/>
        <w:t>These are good arguments, and demonstrate that data bases should not be considered “jurisdictional facilities”, so that they may be transferred without FERC</w:t>
      </w:r>
    </w:p>
    <w:p>
      <w:pPr>
        <w:pStyle w:val="Normal"/>
        <w:rPr>
          <w:sz w:val="24"/>
        </w:rPr>
      </w:pPr>
      <w:r>
        <w:rPr>
          <w:sz w:val="24"/>
        </w:rPr>
        <w:t xml:space="preserve">Permission.   However, since there is no FERC precedent directly on point, there is no </w:t>
      </w:r>
    </w:p>
    <w:p>
      <w:pPr>
        <w:pStyle w:val="Normal"/>
        <w:rPr>
          <w:sz w:val="24"/>
        </w:rPr>
      </w:pPr>
      <w:r>
        <w:rPr>
          <w:sz w:val="24"/>
        </w:rPr>
        <w:t xml:space="preserve">Absolute certainty as to how the Commission would react.  This point requires contact with FERC staff, after it becomes clear precisely what the databases contain. </w:t>
      </w:r>
    </w:p>
    <w:p>
      <w:pPr>
        <w:pStyle w:val="Normal"/>
        <w:ind w:firstLine="720" w:end="0"/>
        <w:rPr>
          <w:sz w:val="24"/>
        </w:rPr>
      </w:pPr>
      <w:r>
        <w:rPr>
          <w:sz w:val="24"/>
        </w:rPr>
      </w:r>
    </w:p>
    <w:sectPr>
      <w:footerReference w:type="default" r:id="rId4"/>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Verdana">
    <w:charset w:val="00" w:characterSet="windows-1252"/>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sz w:val="24"/>
        </w:rPr>
        <w:t xml:space="preserve"> </w:t>
      </w:r>
      <w:r>
        <w:rPr>
          <w:sz w:val="24"/>
        </w:rPr>
        <w:tab/>
      </w:r>
      <w:r>
        <w:rPr>
          <w:sz w:val="24"/>
          <w:u w:val="single"/>
        </w:rPr>
        <w:t>Open Access Same-Time Information System (Formerly Real-Time Information Network) and Standards of Conduct</w:t>
      </w:r>
      <w:r>
        <w:rPr>
          <w:sz w:val="24"/>
        </w:rPr>
        <w:t xml:space="preserve">, Order No. 889, FERC Stats. &amp; Regs. ¶ 31,035 (1996) </w:t>
      </w:r>
      <w:r>
        <w:rPr>
          <w:sz w:val="24"/>
          <w:u w:val="single"/>
        </w:rPr>
        <w:t>order on reh'g</w:t>
      </w:r>
      <w:r>
        <w:rPr>
          <w:sz w:val="24"/>
        </w:rPr>
        <w:t>, Order No. 889-A, III FERC Stats. &amp; Regs. ¶ 31,049 (1997); Order No. 889-B, 81 FERC ¶ 61,253 (1997).</w:t>
      </w:r>
    </w:p>
  </w:footnote>
  <w:footnote w:id="3">
    <w:p>
      <w:pPr>
        <w:pStyle w:val="FootnoteText"/>
        <w:rPr/>
      </w:pPr>
      <w:r>
        <w:rPr>
          <w:rStyle w:val="FootnoteCharacters"/>
        </w:rPr>
        <w:footnoteRef/>
      </w:r>
      <w:r>
        <w:rPr>
          <w:sz w:val="24"/>
        </w:rPr>
        <w:t xml:space="preserve"> </w:t>
      </w:r>
      <w:r>
        <w:rPr>
          <w:sz w:val="24"/>
        </w:rPr>
        <w:tab/>
      </w:r>
      <w:r>
        <w:rPr>
          <w:sz w:val="24"/>
          <w:u w:val="single"/>
        </w:rPr>
        <w:t>See</w:t>
      </w:r>
      <w:r>
        <w:rPr>
          <w:sz w:val="24"/>
        </w:rPr>
        <w:t xml:space="preserve"> </w:t>
      </w:r>
      <w:r>
        <w:rPr>
          <w:sz w:val="24"/>
          <w:u w:val="single"/>
        </w:rPr>
        <w:t>Heartland Energy Services, Inc</w:t>
      </w:r>
      <w:r>
        <w:rPr>
          <w:sz w:val="24"/>
        </w:rPr>
        <w:t>., 68 FERC ¶ 61,223 (1994) (“</w:t>
      </w:r>
      <w:r>
        <w:rPr>
          <w:sz w:val="24"/>
          <w:u w:val="single"/>
        </w:rPr>
        <w:t>Heartland</w:t>
      </w:r>
      <w:r>
        <w:rPr>
          <w:sz w:val="24"/>
        </w:rPr>
        <w:t>”).</w:t>
      </w:r>
    </w:p>
    <w:p>
      <w:pPr>
        <w:pStyle w:val="FootnoteText"/>
        <w:rPr>
          <w:sz w:val="24"/>
        </w:rPr>
      </w:pPr>
      <w:r>
        <w:rPr>
          <w:sz w:val="24"/>
        </w:rPr>
      </w:r>
    </w:p>
  </w:footnote>
  <w:footnote w:id="4">
    <w:p>
      <w:pPr>
        <w:pStyle w:val="Normal"/>
        <w:rPr/>
      </w:pPr>
      <w:r>
        <w:rPr>
          <w:rStyle w:val="FootnoteCharacters"/>
        </w:rPr>
        <w:footnoteRef/>
      </w:r>
      <w:r>
        <w:rPr>
          <w:sz w:val="24"/>
        </w:rPr>
        <w:tab/>
      </w:r>
      <w:r>
        <w:rPr>
          <w:sz w:val="24"/>
          <w:u w:val="single"/>
        </w:rPr>
        <w:t>See</w:t>
      </w:r>
      <w:r>
        <w:rPr>
          <w:sz w:val="24"/>
        </w:rPr>
        <w:t xml:space="preserve"> </w:t>
      </w:r>
      <w:r>
        <w:rPr>
          <w:sz w:val="24"/>
          <w:u w:val="single"/>
        </w:rPr>
        <w:t>Cataula Generating Co.</w:t>
      </w:r>
      <w:r>
        <w:rPr>
          <w:sz w:val="24"/>
        </w:rPr>
        <w:t>, 79 FERC ¶ 61,261 (1997).</w:t>
      </w:r>
    </w:p>
    <w:p>
      <w:pPr>
        <w:pStyle w:val="Normal"/>
        <w:rPr>
          <w:sz w:val="24"/>
        </w:rPr>
      </w:pPr>
      <w:r>
        <w:rPr>
          <w:sz w:val="24"/>
        </w:rPr>
      </w:r>
    </w:p>
  </w:footnote>
  <w:footnote w:id="5">
    <w:p>
      <w:pPr>
        <w:pStyle w:val="Normal"/>
        <w:rPr/>
      </w:pPr>
      <w:r>
        <w:rPr>
          <w:rStyle w:val="FootnoteCharacters"/>
        </w:rPr>
        <w:footnoteRef/>
      </w:r>
      <w:r>
        <w:rPr>
          <w:sz w:val="24"/>
        </w:rPr>
        <w:tab/>
      </w:r>
      <w:r>
        <w:rPr>
          <w:sz w:val="24"/>
          <w:u w:val="single"/>
        </w:rPr>
        <w:t>See</w:t>
      </w:r>
      <w:r>
        <w:rPr>
          <w:sz w:val="24"/>
        </w:rPr>
        <w:t xml:space="preserve"> </w:t>
      </w:r>
      <w:r>
        <w:rPr>
          <w:sz w:val="24"/>
          <w:u w:val="single"/>
        </w:rPr>
        <w:t>USGen Power Services, L.P.</w:t>
      </w:r>
      <w:r>
        <w:rPr>
          <w:sz w:val="24"/>
        </w:rPr>
        <w:t>, 73 FERC ¶ 61,302 (1995).</w:t>
      </w:r>
    </w:p>
    <w:p>
      <w:pPr>
        <w:pStyle w:val="Normal"/>
        <w:rPr>
          <w:sz w:val="24"/>
        </w:rPr>
      </w:pPr>
      <w:r>
        <w:rPr>
          <w:sz w:val="24"/>
        </w:rPr>
      </w:r>
    </w:p>
  </w:footnote>
  <w:footnote w:id="6">
    <w:p>
      <w:pPr>
        <w:pStyle w:val="FootnoteText"/>
        <w:rPr/>
      </w:pPr>
      <w:r>
        <w:rPr>
          <w:rStyle w:val="FootnoteCharacters"/>
        </w:rPr>
        <w:footnoteRef/>
      </w:r>
      <w:r>
        <w:rPr>
          <w:sz w:val="24"/>
        </w:rPr>
        <w:t xml:space="preserve"> </w:t>
      </w:r>
      <w:r>
        <w:rPr>
          <w:sz w:val="24"/>
        </w:rPr>
        <w:tab/>
      </w:r>
      <w:r>
        <w:rPr>
          <w:sz w:val="24"/>
          <w:u w:val="single"/>
        </w:rPr>
        <w:t>See, e.g.</w:t>
      </w:r>
      <w:r>
        <w:rPr>
          <w:sz w:val="24"/>
        </w:rPr>
        <w:t xml:space="preserve">, </w:t>
      </w:r>
      <w:r>
        <w:rPr>
          <w:sz w:val="24"/>
          <w:u w:val="single"/>
        </w:rPr>
        <w:t>MP Energy, Inc.</w:t>
      </w:r>
      <w:r>
        <w:rPr>
          <w:sz w:val="24"/>
        </w:rPr>
        <w:t>, 78 FERC ¶ 61,005 (1997)(emphasis added).</w:t>
      </w:r>
    </w:p>
    <w:p>
      <w:pPr>
        <w:pStyle w:val="FootnoteText"/>
        <w:rPr>
          <w:sz w:val="24"/>
        </w:rPr>
      </w:pPr>
      <w:r>
        <w:rPr>
          <w:sz w:val="24"/>
        </w:rPr>
      </w:r>
    </w:p>
  </w:footnote>
  <w:footnote w:id="7">
    <w:p>
      <w:pPr>
        <w:pStyle w:val="Normal"/>
        <w:spacing w:before="0" w:after="240"/>
        <w:rPr/>
      </w:pPr>
      <w:r>
        <w:rPr>
          <w:rStyle w:val="FootnoteCharacters"/>
        </w:rPr>
        <w:footnoteRef/>
      </w:r>
      <w:r>
        <w:rPr>
          <w:rFonts w:cs="Courier;Courier New" w:ascii="Courier;Courier New" w:hAnsi="Courier;Courier New"/>
          <w:sz w:val="24"/>
        </w:rPr>
        <w:tab/>
      </w:r>
      <w:r>
        <w:rPr>
          <w:sz w:val="24"/>
          <w:u w:val="single"/>
        </w:rPr>
        <w:t>MP Energy, Inc.</w:t>
      </w:r>
      <w:r>
        <w:rPr>
          <w:sz w:val="24"/>
        </w:rPr>
        <w:t>, 78 FERC ¶ 61,005 at 62,012 (1997)(emphasis added).</w:t>
      </w:r>
    </w:p>
  </w:footnote>
  <w:footnote w:id="8">
    <w:p>
      <w:pPr>
        <w:pStyle w:val="Normal"/>
        <w:spacing w:before="0" w:after="240"/>
        <w:rPr/>
      </w:pPr>
      <w:r>
        <w:rPr>
          <w:rStyle w:val="FootnoteCharacters"/>
        </w:rPr>
        <w:footnoteRef/>
      </w:r>
      <w:r>
        <w:rPr>
          <w:rFonts w:cs="Courier;Courier New" w:ascii="Courier;Courier New" w:hAnsi="Courier;Courier New"/>
          <w:sz w:val="24"/>
        </w:rPr>
        <w:tab/>
      </w:r>
      <w:r>
        <w:rPr>
          <w:sz w:val="24"/>
        </w:rPr>
        <w:t xml:space="preserve">18 C.F.R. § 37.4 (b) (1).  The Commission has found that a merchant function employee should not take part in processing the transmission requests of itself or any customer.  Also, only transmission function employees are permitted to process transmission requests. </w:t>
      </w:r>
      <w:r>
        <w:rPr>
          <w:sz w:val="24"/>
          <w:u w:val="single"/>
        </w:rPr>
        <w:t>Arizona Public Service Company v. Idaho Power Company</w:t>
      </w:r>
      <w:r>
        <w:rPr>
          <w:sz w:val="24"/>
        </w:rPr>
        <w:t xml:space="preserve">, 87 FERC ¶ 61,303 (1999), </w:t>
      </w:r>
      <w:r>
        <w:rPr>
          <w:sz w:val="24"/>
          <w:u w:val="single"/>
        </w:rPr>
        <w:t>order on reh’g</w:t>
      </w:r>
      <w:r>
        <w:rPr>
          <w:sz w:val="24"/>
        </w:rPr>
        <w:t xml:space="preserve">, 89 FERC ¶ 61,061 (1999); </w:t>
      </w:r>
      <w:r>
        <w:rPr>
          <w:sz w:val="24"/>
          <w:u w:val="single"/>
        </w:rPr>
        <w:t>Utah Associated Municipal Power Systems v. PacifiCorp</w:t>
      </w:r>
      <w:r>
        <w:rPr>
          <w:sz w:val="24"/>
        </w:rPr>
        <w:t xml:space="preserve">, 83 FERC ¶ 61,337 (1998), </w:t>
      </w:r>
      <w:r>
        <w:rPr>
          <w:sz w:val="24"/>
          <w:u w:val="single"/>
        </w:rPr>
        <w:t>reh'g denied</w:t>
      </w:r>
      <w:r>
        <w:rPr>
          <w:sz w:val="24"/>
        </w:rPr>
        <w:t>, 87 FERC ¶ 61,044 (1999) ("</w:t>
      </w:r>
      <w:r>
        <w:rPr>
          <w:sz w:val="24"/>
          <w:u w:val="single"/>
        </w:rPr>
        <w:t>UAM</w:t>
      </w:r>
      <w:r>
        <w:rPr>
          <w:sz w:val="24"/>
        </w:rPr>
        <w:t xml:space="preserve">"). Moreover, the Commission concluded that if the merchant and transmission functions are contained in the same building, security measures must exist to prevent any wholesale merchant employee from being able to access any control center, any transmission information on the computer system or other facility used in the transmission function.  Also, the Commission found that transmission employees providing training to merchant employees must also provide the same training to non-affiliated customers' employees in the operation of the transmission system, or else not provide any training to merchant employees.  </w:t>
      </w:r>
      <w:r>
        <w:rPr>
          <w:sz w:val="24"/>
          <w:u w:val="single"/>
        </w:rPr>
        <w:t>Id.</w:t>
      </w:r>
    </w:p>
  </w:footnote>
  <w:footnote w:id="9">
    <w:p>
      <w:pPr>
        <w:pStyle w:val="Normal"/>
        <w:spacing w:before="0" w:after="240"/>
        <w:rPr/>
      </w:pPr>
      <w:r>
        <w:rPr>
          <w:rStyle w:val="FootnoteCharacters"/>
        </w:rPr>
        <w:footnoteRef/>
      </w:r>
      <w:r>
        <w:rPr>
          <w:rFonts w:cs="Courier;Courier New" w:ascii="Courier;Courier New" w:hAnsi="Courier;Courier New"/>
          <w:sz w:val="24"/>
        </w:rPr>
        <w:tab/>
      </w:r>
      <w:r>
        <w:rPr>
          <w:sz w:val="24"/>
        </w:rPr>
        <w:t>18 C.F.R. § 37.4 (b)(3) (i).</w:t>
      </w:r>
    </w:p>
  </w:footnote>
  <w:footnote w:id="10">
    <w:p>
      <w:pPr>
        <w:pStyle w:val="Normal"/>
        <w:spacing w:before="0" w:after="240"/>
        <w:rPr/>
      </w:pPr>
      <w:r>
        <w:rPr>
          <w:rStyle w:val="FootnoteCharacters"/>
        </w:rPr>
        <w:footnoteRef/>
      </w:r>
      <w:r>
        <w:rPr>
          <w:rFonts w:cs="Courier;Courier New" w:ascii="Courier;Courier New" w:hAnsi="Courier;Courier New"/>
          <w:sz w:val="24"/>
        </w:rPr>
        <w:tab/>
      </w:r>
      <w:r>
        <w:rPr>
          <w:sz w:val="24"/>
        </w:rPr>
        <w:t>18 C.F.R. § 37.4 (b)(3) (ii).</w:t>
      </w:r>
    </w:p>
  </w:footnote>
  <w:footnote w:id="11">
    <w:p>
      <w:pPr>
        <w:pStyle w:val="Normal"/>
        <w:spacing w:before="0" w:after="240"/>
        <w:rPr/>
      </w:pPr>
      <w:r>
        <w:rPr>
          <w:rStyle w:val="FootnoteCharacters"/>
        </w:rPr>
        <w:footnoteRef/>
      </w:r>
      <w:r>
        <w:rPr>
          <w:rFonts w:cs="Courier;Courier New" w:ascii="Courier;Courier New" w:hAnsi="Courier;Courier New"/>
          <w:sz w:val="24"/>
        </w:rPr>
        <w:tab/>
      </w:r>
      <w:r>
        <w:rPr>
          <w:sz w:val="24"/>
        </w:rPr>
        <w:t xml:space="preserve">18 C.F.R. § 37.4 (b) (4) (i); </w:t>
      </w:r>
      <w:r>
        <w:rPr>
          <w:sz w:val="24"/>
          <w:u w:val="single"/>
        </w:rPr>
        <w:t>see</w:t>
      </w:r>
      <w:r>
        <w:rPr>
          <w:sz w:val="24"/>
        </w:rPr>
        <w:t xml:space="preserve"> </w:t>
      </w:r>
      <w:r>
        <w:rPr>
          <w:sz w:val="24"/>
          <w:u w:val="single"/>
        </w:rPr>
        <w:t>Allegheny Power Service Corp.</w:t>
      </w:r>
      <w:r>
        <w:rPr>
          <w:sz w:val="24"/>
        </w:rPr>
        <w:t>, 81 FERC ¶ 61,339 (1997).</w:t>
      </w:r>
    </w:p>
  </w:footnote>
  <w:footnote w:id="12">
    <w:p>
      <w:pPr>
        <w:pStyle w:val="Normal"/>
        <w:spacing w:before="0" w:after="240"/>
        <w:rPr/>
      </w:pPr>
      <w:r>
        <w:rPr>
          <w:rStyle w:val="FootnoteCharacters"/>
        </w:rPr>
        <w:footnoteRef/>
      </w:r>
      <w:r>
        <w:rPr>
          <w:rFonts w:cs="Courier;Courier New" w:ascii="Courier;Courier New" w:hAnsi="Courier;Courier New"/>
          <w:sz w:val="24"/>
        </w:rPr>
        <w:tab/>
      </w:r>
      <w:r>
        <w:rPr>
          <w:sz w:val="24"/>
          <w:u w:val="single"/>
        </w:rPr>
        <w:t>See</w:t>
      </w:r>
      <w:r>
        <w:rPr>
          <w:sz w:val="24"/>
        </w:rPr>
        <w:t xml:space="preserve"> 18 C.F.R. § 37.4 (a)(1); </w:t>
      </w:r>
      <w:r>
        <w:rPr>
          <w:sz w:val="24"/>
          <w:u w:val="single"/>
        </w:rPr>
        <w:t>AEP</w:t>
      </w:r>
      <w:r>
        <w:rPr>
          <w:sz w:val="24"/>
        </w:rPr>
        <w:t xml:space="preserve"> at 62,513.</w:t>
      </w:r>
    </w:p>
  </w:footnote>
  <w:footnote w:id="13">
    <w:p>
      <w:pPr>
        <w:pStyle w:val="Normal"/>
        <w:spacing w:before="0" w:after="240"/>
        <w:rPr/>
      </w:pPr>
      <w:r>
        <w:rPr>
          <w:rStyle w:val="FootnoteCharacters"/>
        </w:rPr>
        <w:footnoteRef/>
      </w:r>
      <w:r>
        <w:rPr>
          <w:rFonts w:cs="Courier;Courier New" w:ascii="Courier;Courier New" w:hAnsi="Courier;Courier New"/>
          <w:sz w:val="24"/>
        </w:rPr>
        <w:tab/>
      </w:r>
      <w:r>
        <w:rPr>
          <w:sz w:val="24"/>
          <w:u w:val="single"/>
        </w:rPr>
        <w:t>See</w:t>
      </w:r>
      <w:r>
        <w:rPr>
          <w:sz w:val="24"/>
        </w:rPr>
        <w:t xml:space="preserve"> </w:t>
      </w:r>
      <w:r>
        <w:rPr>
          <w:sz w:val="24"/>
          <w:u w:val="single"/>
        </w:rPr>
        <w:t>AEP</w:t>
      </w:r>
      <w:r>
        <w:rPr>
          <w:sz w:val="24"/>
        </w:rPr>
        <w:t xml:space="preserve"> at 62,513-14 (citing to Order No. 889-A at 30,558). </w:t>
      </w:r>
    </w:p>
  </w:footnote>
  <w:footnote w:id="14">
    <w:p>
      <w:pPr>
        <w:pStyle w:val="Normal"/>
        <w:spacing w:before="0" w:after="240"/>
        <w:rPr/>
      </w:pPr>
      <w:r>
        <w:rPr>
          <w:rStyle w:val="FootnoteCharacters"/>
        </w:rPr>
        <w:footnoteRef/>
      </w:r>
      <w:r>
        <w:rPr>
          <w:rFonts w:cs="Courier;Courier New" w:ascii="Courier;Courier New" w:hAnsi="Courier;Courier New"/>
          <w:sz w:val="24"/>
        </w:rPr>
        <w:tab/>
      </w:r>
      <w:r>
        <w:rPr>
          <w:sz w:val="24"/>
          <w:u w:val="single"/>
        </w:rPr>
        <w:t>Id.</w:t>
      </w:r>
    </w:p>
  </w:footnote>
  <w:footnote w:id="15">
    <w:p>
      <w:pPr>
        <w:pStyle w:val="FootnoteText"/>
        <w:rPr/>
      </w:pPr>
      <w:r>
        <w:rPr>
          <w:rStyle w:val="FootnoteCharacters"/>
        </w:rPr>
        <w:footnoteRef/>
      </w:r>
      <w:r>
        <w:rPr>
          <w:sz w:val="24"/>
        </w:rPr>
        <w:t xml:space="preserve"> </w:t>
      </w:r>
      <w:r>
        <w:rPr>
          <w:sz w:val="24"/>
        </w:rPr>
        <w:tab/>
      </w:r>
      <w:r>
        <w:rPr>
          <w:sz w:val="24"/>
          <w:u w:val="single"/>
        </w:rPr>
        <w:t>Standards of Conduct for Transmission Providers</w:t>
      </w:r>
      <w:r>
        <w:rPr>
          <w:sz w:val="24"/>
        </w:rPr>
        <w:t>, 96 FERC ¶ 61,334 (2001).</w:t>
      </w:r>
    </w:p>
    <w:p>
      <w:pPr>
        <w:pStyle w:val="FootnoteText"/>
        <w:rPr>
          <w:sz w:val="24"/>
        </w:rPr>
      </w:pPr>
      <w:r>
        <w:rPr>
          <w:sz w:val="24"/>
        </w:rPr>
      </w:r>
    </w:p>
  </w:footnote>
  <w:footnote w:id="16">
    <w:p>
      <w:pPr>
        <w:pStyle w:val="FootnoteText"/>
        <w:rPr/>
      </w:pPr>
      <w:r>
        <w:rPr>
          <w:rStyle w:val="FootnoteCharacters"/>
        </w:rPr>
        <w:footnoteRef/>
      </w:r>
      <w:r>
        <w:rPr>
          <w:sz w:val="24"/>
        </w:rPr>
        <w:t xml:space="preserve"> </w:t>
      </w:r>
      <w:r>
        <w:rPr>
          <w:sz w:val="24"/>
        </w:rPr>
        <w:tab/>
        <w:t>The Commission also suggested, however, that transmission providers that do not control transmission facilities and participate in Commission approved regional transmission organizations under Order No. 2000 would be able to request an exemption from the proposed Standards of Conduct.</w:t>
      </w:r>
    </w:p>
    <w:p>
      <w:pPr>
        <w:pStyle w:val="FootnoteText"/>
        <w:rPr>
          <w:sz w:val="24"/>
        </w:rPr>
      </w:pPr>
      <w:r>
        <w:rPr>
          <w:sz w:val="24"/>
        </w:rPr>
      </w:r>
    </w:p>
  </w:footnote>
  <w:footnote w:id="17">
    <w:p>
      <w:pPr>
        <w:pStyle w:val="FootnoteText"/>
        <w:rPr/>
      </w:pPr>
      <w:r>
        <w:rPr>
          <w:rStyle w:val="FootnoteCharacters"/>
        </w:rPr>
        <w:footnoteRef/>
      </w:r>
      <w:r>
        <w:rPr>
          <w:sz w:val="24"/>
        </w:rPr>
        <w:t xml:space="preserve"> </w:t>
      </w:r>
      <w:r>
        <w:rPr>
          <w:sz w:val="24"/>
        </w:rPr>
        <w:tab/>
      </w:r>
      <w:r>
        <w:rPr>
          <w:sz w:val="24"/>
          <w:u w:val="single"/>
        </w:rPr>
        <w:t>Inquiry into Alleged Anticompetitive Practices Related to Marketing Affiliates of Interstate Pipelines</w:t>
      </w:r>
      <w:r>
        <w:rPr>
          <w:sz w:val="24"/>
        </w:rPr>
        <w:t>, Order No. 497, FERC Stats. &amp; Regs. Regulations Preambles 1986-1990 ¶ 30,820 (1988); Order No. 497-A, FERC Stats &amp; Regs. Regulations Preambles 1986-1990 ¶ 30,868 (1989).</w:t>
      </w:r>
    </w:p>
    <w:p>
      <w:pPr>
        <w:pStyle w:val="FootnoteText"/>
        <w:rPr>
          <w:sz w:val="24"/>
        </w:rPr>
      </w:pPr>
      <w:r>
        <w:rPr>
          <w:sz w:val="24"/>
        </w:rPr>
      </w:r>
    </w:p>
  </w:footnote>
  <w:footnote w:id="18">
    <w:p>
      <w:pPr>
        <w:pStyle w:val="FootnoteText"/>
        <w:rPr/>
      </w:pPr>
      <w:r>
        <w:rPr>
          <w:rStyle w:val="FootnoteCharacters"/>
        </w:rPr>
        <w:footnoteRef/>
      </w:r>
      <w:r>
        <w:rPr>
          <w:sz w:val="24"/>
        </w:rPr>
        <w:t xml:space="preserve"> </w:t>
      </w:r>
      <w:r>
        <w:rPr>
          <w:sz w:val="24"/>
        </w:rPr>
        <w:tab/>
        <w:t>18 C.F.R. §161.3.</w:t>
      </w:r>
    </w:p>
    <w:p>
      <w:pPr>
        <w:pStyle w:val="FootnoteText"/>
        <w:rPr>
          <w:sz w:val="24"/>
        </w:rPr>
      </w:pPr>
      <w:r>
        <w:rPr>
          <w:sz w:val="24"/>
        </w:rPr>
      </w:r>
    </w:p>
  </w:footnote>
  <w:footnote w:id="19">
    <w:p>
      <w:pPr>
        <w:pStyle w:val="FootnoteText"/>
        <w:rPr/>
      </w:pPr>
      <w:r>
        <w:rPr>
          <w:rStyle w:val="FootnoteCharacters"/>
        </w:rPr>
        <w:footnoteRef/>
      </w:r>
      <w:r>
        <w:rPr>
          <w:sz w:val="24"/>
        </w:rPr>
        <w:t xml:space="preserve"> </w:t>
      </w:r>
      <w:r>
        <w:rPr>
          <w:sz w:val="24"/>
        </w:rPr>
        <w:tab/>
      </w:r>
      <w:r>
        <w:rPr>
          <w:sz w:val="24"/>
          <w:u w:val="single"/>
        </w:rPr>
        <w:t>Morgan Stanley Capital Group Inc</w:t>
      </w:r>
      <w:r>
        <w:rPr>
          <w:sz w:val="24"/>
        </w:rPr>
        <w:t>., 72 FERC ¶ 61,082 at 61,693  (1995).</w:t>
      </w:r>
    </w:p>
    <w:p>
      <w:pPr>
        <w:pStyle w:val="FootnoteText"/>
        <w:rPr>
          <w:sz w:val="24"/>
        </w:rPr>
      </w:pPr>
      <w:r>
        <w:rPr>
          <w:sz w:val="24"/>
        </w:rPr>
      </w:r>
    </w:p>
  </w:footnote>
  <w:footnote w:id="20">
    <w:p>
      <w:pPr>
        <w:pStyle w:val="FootnoteText"/>
        <w:rPr/>
      </w:pPr>
      <w:r>
        <w:rPr>
          <w:rStyle w:val="FootnoteCharacters"/>
        </w:rPr>
        <w:footnoteRef/>
      </w:r>
      <w:r>
        <w:rPr>
          <w:sz w:val="24"/>
        </w:rPr>
        <w:t xml:space="preserve"> </w:t>
      </w:r>
      <w:r>
        <w:rPr>
          <w:sz w:val="24"/>
        </w:rPr>
        <w:tab/>
      </w:r>
      <w:r>
        <w:rPr>
          <w:sz w:val="24"/>
          <w:u w:val="single"/>
        </w:rPr>
        <w:t>Id.</w:t>
      </w:r>
      <w:r>
        <w:rPr>
          <w:sz w:val="24"/>
        </w:rPr>
        <w:t xml:space="preserve">    Section 161.2(a) defines “affiliate” as “another person which controls, is controlled by, or is under common control with, such person.”  Section 161.2(b) states that “control (including the terms ‘controlling,’ ‘controlled by,’ and ‘under common control with’) . . . includes, but is not limited to, the possession, directly or indirectly and whether acting alone or in conjunction with others, of the authority to direct or cause the direction of the management or polices of a company.  A voting interest of 10 percent or more creates a refutable presumption of control.”</w:t>
      </w:r>
    </w:p>
    <w:p>
      <w:pPr>
        <w:pStyle w:val="FootnoteText"/>
        <w:rPr>
          <w:sz w:val="24"/>
        </w:rPr>
      </w:pPr>
      <w:r>
        <w:rPr>
          <w:sz w:val="24"/>
        </w:rPr>
      </w:r>
    </w:p>
    <w:p>
      <w:pPr>
        <w:pStyle w:val="FootnoteText"/>
        <w:rPr>
          <w:sz w:val="24"/>
        </w:rPr>
      </w:pPr>
      <w:r>
        <w:rPr>
          <w:sz w:val="24"/>
        </w:rPr>
        <w:tab/>
        <w:t>For purposes of determining affiliation for exempt wholesale generators (“EWGs”), a 5 percent voting interest constitutes a rebuttable presumption of control as set out in section 2(a) of the Public Utility Holding Company Act.</w:t>
      </w:r>
    </w:p>
    <w:p>
      <w:pPr>
        <w:pStyle w:val="FootnoteText"/>
        <w:rPr>
          <w:sz w:val="24"/>
        </w:rPr>
      </w:pPr>
      <w:r>
        <w:rPr>
          <w:sz w:val="24"/>
        </w:rPr>
        <w:tab/>
      </w:r>
    </w:p>
  </w:footnote>
  <w:footnote w:id="21">
    <w:p>
      <w:pPr>
        <w:pStyle w:val="FootnoteText"/>
        <w:rPr/>
      </w:pPr>
      <w:r>
        <w:rPr>
          <w:rStyle w:val="FootnoteCharacters"/>
        </w:rPr>
        <w:footnoteRef/>
      </w:r>
      <w:r>
        <w:rPr>
          <w:sz w:val="24"/>
        </w:rPr>
        <w:t xml:space="preserve"> </w:t>
      </w:r>
      <w:r>
        <w:rPr>
          <w:sz w:val="24"/>
        </w:rPr>
        <w:tab/>
        <w:t xml:space="preserve">In </w:t>
      </w:r>
      <w:r>
        <w:rPr>
          <w:sz w:val="24"/>
          <w:u w:val="single"/>
        </w:rPr>
        <w:t>The Power Company of America, L.P</w:t>
      </w:r>
      <w:r>
        <w:rPr>
          <w:sz w:val="24"/>
        </w:rPr>
        <w:t xml:space="preserve">., 79 FERC ¶ 61,067 (1997), FERC did not require an entity with market-based rate authority to file a code of conduct finding that an affiliate relationship did not exist where the voting interest at issue was 9.9 percent.  In </w:t>
      </w:r>
      <w:r>
        <w:rPr>
          <w:sz w:val="24"/>
          <w:u w:val="single"/>
        </w:rPr>
        <w:t>DPL Energy, Inc.,</w:t>
      </w:r>
      <w:r>
        <w:rPr>
          <w:sz w:val="24"/>
        </w:rPr>
        <w:t xml:space="preserve"> 76 FERC ¶ 61,367 (1996), the Commission found an affiliate relationship did not exist where at issue was an indirect voting interest of 5.71 percent.  However, the Commission did require that the company meet all affiliate abuse restrictions concerning simultaneous disclosure of marketing information and sales of non-power goods and services.  </w:t>
      </w:r>
    </w:p>
    <w:p>
      <w:pPr>
        <w:pStyle w:val="FootnoteText"/>
        <w:rPr>
          <w:sz w:val="24"/>
        </w:rPr>
      </w:pPr>
      <w:r>
        <w:rPr>
          <w:sz w:val="24"/>
        </w:rPr>
      </w:r>
    </w:p>
  </w:footnote>
  <w:footnote w:id="22">
    <w:p>
      <w:pPr>
        <w:pStyle w:val="Normal"/>
        <w:spacing w:before="0" w:after="240"/>
        <w:rPr/>
      </w:pPr>
      <w:r>
        <w:rPr>
          <w:rStyle w:val="FootnoteCharacters"/>
        </w:rPr>
        <w:footnoteRef/>
      </w:r>
      <w:r>
        <w:rPr>
          <w:sz w:val="24"/>
        </w:rPr>
        <w:t xml:space="preserve"> </w:t>
      </w:r>
      <w:r>
        <w:rPr>
          <w:sz w:val="24"/>
        </w:rPr>
        <w:t>16 U.S.C. 824b.</w:t>
      </w:r>
    </w:p>
  </w:footnote>
  <w:footnote w:id="23">
    <w:p>
      <w:pPr>
        <w:pStyle w:val="Normal"/>
        <w:spacing w:before="0" w:after="240"/>
        <w:rPr/>
      </w:pPr>
      <w:r>
        <w:rPr>
          <w:rStyle w:val="FootnoteCharacters"/>
        </w:rPr>
        <w:footnoteRef/>
      </w:r>
      <w:r>
        <w:rPr>
          <w:rFonts w:cs="Courier;Courier New" w:ascii="Courier;Courier New" w:hAnsi="Courier;Courier New"/>
          <w:sz w:val="24"/>
        </w:rPr>
        <w:tab/>
      </w:r>
      <w:r>
        <w:rPr>
          <w:sz w:val="24"/>
        </w:rPr>
        <w:t>PanEnergy Power is a power marketer that is an indirect subsidiary of PanEnergy Corp.</w:t>
      </w:r>
    </w:p>
  </w:footnote>
  <w:footnote w:id="24">
    <w:p>
      <w:pPr>
        <w:pStyle w:val="Normal"/>
        <w:spacing w:before="0" w:after="240"/>
        <w:rPr/>
      </w:pPr>
      <w:r>
        <w:rPr>
          <w:rStyle w:val="FootnoteCharacters"/>
        </w:rPr>
        <w:footnoteRef/>
      </w:r>
      <w:r>
        <w:rPr>
          <w:sz w:val="24"/>
        </w:rPr>
        <w:tab/>
        <w:t>PTMSI is a direct wholly owned subsidiary of PanEnergy Corp.</w:t>
      </w:r>
    </w:p>
  </w:footnote>
  <w:footnote w:id="25">
    <w:p>
      <w:pPr>
        <w:pStyle w:val="Normal"/>
        <w:spacing w:before="0" w:after="240"/>
        <w:rPr/>
      </w:pPr>
      <w:r>
        <w:rPr>
          <w:rStyle w:val="FootnoteCharacters"/>
        </w:rPr>
        <w:footnoteRef/>
      </w:r>
      <w:r>
        <w:rPr>
          <w:sz w:val="24"/>
        </w:rPr>
        <w:tab/>
        <w:t>PanEnergy Trading is also a power marketer and is a limited liability company that is 60% owned by PTMSI and 40% owned by Mobil.  Mobil is a natural gas marketer and wholly-owned direct subsidiary of Mobil Corporation.</w:t>
      </w:r>
    </w:p>
  </w:footnote>
  <w:footnote w:id="26">
    <w:p>
      <w:pPr>
        <w:pStyle w:val="Normal"/>
        <w:spacing w:before="0" w:after="240"/>
        <w:rPr/>
      </w:pPr>
      <w:r>
        <w:rPr>
          <w:rStyle w:val="FootnoteCharacters"/>
        </w:rPr>
        <w:footnoteRef/>
      </w:r>
      <w:r>
        <w:rPr>
          <w:rFonts w:cs="Courier;Courier New" w:ascii="Courier;Courier New" w:hAnsi="Courier;Courier New"/>
          <w:sz w:val="24"/>
        </w:rPr>
        <w:tab/>
      </w:r>
      <w:r>
        <w:rPr>
          <w:sz w:val="24"/>
          <w:u w:val="single"/>
        </w:rPr>
        <w:t>See</w:t>
      </w:r>
      <w:r>
        <w:rPr>
          <w:sz w:val="24"/>
        </w:rPr>
        <w:t xml:space="preserve">, </w:t>
      </w:r>
      <w:r>
        <w:rPr>
          <w:sz w:val="24"/>
          <w:u w:val="single"/>
        </w:rPr>
        <w:t>e.g.</w:t>
      </w:r>
      <w:r>
        <w:rPr>
          <w:sz w:val="24"/>
        </w:rPr>
        <w:t xml:space="preserve">, </w:t>
      </w:r>
      <w:r>
        <w:rPr>
          <w:sz w:val="24"/>
          <w:u w:val="single"/>
        </w:rPr>
        <w:t>UtiliCorp United, Inc. and Aquila Power Corp.</w:t>
      </w:r>
      <w:r>
        <w:rPr>
          <w:sz w:val="24"/>
        </w:rPr>
        <w:t xml:space="preserve">, 70 FERC ¶ 61,021 (1995); </w:t>
      </w:r>
      <w:r>
        <w:rPr>
          <w:sz w:val="24"/>
          <w:u w:val="single"/>
        </w:rPr>
        <w:t>Citizens Energy Corp.</w:t>
      </w:r>
      <w:r>
        <w:rPr>
          <w:sz w:val="24"/>
        </w:rPr>
        <w:t>, 35 FERC ¶ 61,198 (1986).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bullet"/>
      <w:lvlText w:val=""/>
      <w:lvlJc w:val="start"/>
      <w:pPr>
        <w:tabs>
          <w:tab w:val="num" w:pos="1080"/>
        </w:tabs>
        <w:ind w:start="1080" w:hanging="360"/>
      </w:pPr>
      <w:rPr>
        <w:rFonts w:ascii="Wingdings" w:hAnsi="Wingdings" w:cs="Wingdings" w:hint="default"/>
      </w:rPr>
    </w:lvl>
  </w:abstractNum>
  <w:abstractNum w:abstractNumId="3">
    <w:lvl w:ilvl="0">
      <w:numFmt w:val="bullet"/>
      <w:lvlText w:val=""/>
      <w:lvlJc w:val="start"/>
      <w:pPr>
        <w:tabs>
          <w:tab w:val="num" w:pos="1080"/>
        </w:tabs>
        <w:ind w:start="1080" w:hanging="360"/>
      </w:pPr>
      <w:rPr>
        <w:rFonts w:ascii="Wingdings" w:hAnsi="Wingdings" w:cs="Wingdings" w:hint="default"/>
      </w:rPr>
    </w:lvl>
  </w:abstractNum>
  <w:abstractNum w:abstractNumId="4">
    <w:lvl w:ilvl="0">
      <w:numFmt w:val="bullet"/>
      <w:lvlText w:val=""/>
      <w:lvlJc w:val="start"/>
      <w:pPr>
        <w:tabs>
          <w:tab w:val="num" w:pos="1080"/>
        </w:tabs>
        <w:ind w:start="1080" w:hanging="360"/>
      </w:pPr>
      <w:rPr>
        <w:rFonts w:ascii="Wingdings" w:hAnsi="Wingdings" w:cs="Wingdings" w:hint="default"/>
      </w:rPr>
    </w:lvl>
  </w:abstractNum>
  <w:abstractNum w:abstractNumId="5">
    <w:lvl w:ilvl="0">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3"/>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univers11">
    <w:name w:val="univers11"/>
    <w:qFormat/>
    <w:rPr>
      <w:rFonts w:ascii="Verdana" w:hAnsi="Verdana" w:cs="Verdana"/>
      <w:sz w:val="22"/>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2">
    <w:name w:val="Body Text Indent 2"/>
    <w:basedOn w:val="Normal"/>
    <w:qFormat/>
    <w:pPr>
      <w:ind w:firstLine="720" w:start="-720" w:end="0"/>
    </w:pPr>
    <w:rPr>
      <w:sz w:val="24"/>
    </w:rPr>
  </w:style>
  <w:style w:type="paragraph" w:styleId="BodyTextIndent3">
    <w:name w:val="Body Text Indent 3"/>
    <w:basedOn w:val="Normal"/>
    <w:qFormat/>
    <w:pPr>
      <w:ind w:hanging="0" w:start="-720" w:end="0"/>
    </w:pPr>
    <w:rPr>
      <w:sz w:val="24"/>
    </w:rPr>
  </w:style>
  <w:style w:type="paragraph" w:styleId="BlockText">
    <w:name w:val="Block Text"/>
    <w:basedOn w:val="Normal"/>
    <w:qFormat/>
    <w:pPr>
      <w:ind w:hanging="0" w:start="1800" w:end="1800"/>
    </w:pPr>
    <w:rPr>
      <w:sz w:val="24"/>
    </w:rPr>
  </w:style>
  <w:style w:type="paragraph" w:styleId="BodyTextIndent">
    <w:name w:val="Body Text Indent"/>
    <w:basedOn w:val="Normal"/>
    <w:pPr>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2001-12-19T19:33:00Z</dcterms:created>
  <dc:creator>Yvonne Coviello</dc:creator>
  <dc:description/>
  <dc:language>en-CA</dc:language>
  <cp:lastModifiedBy>Yvonne Coviello</cp:lastModifiedBy>
  <cp:lastPrinted>2001-12-19T17:50:00Z</cp:lastPrinted>
  <dcterms:modified xsi:type="dcterms:W3CDTF">2001-12-19T20:39:00Z</dcterms:modified>
  <cp:revision>5</cp:revision>
  <dc:subject/>
  <dc:title>Executive Summary</dc:title>
</cp:coreProperties>
</file>