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u w:val="single"/>
        </w:rPr>
      </w:pPr>
      <w:r>
        <w:rPr>
          <w:b/>
          <w:bCs/>
          <w:sz w:val="22"/>
          <w:szCs w:val="22"/>
          <w:u w:val="single"/>
        </w:rPr>
        <w:t>DRAFT OF 06/07/2001</w:t>
      </w:r>
    </w:p>
    <w:p>
      <w:pPr>
        <w:pStyle w:val="Normal"/>
        <w:jc w:val="end"/>
        <w:rPr>
          <w:b/>
          <w:bCs/>
          <w:sz w:val="22"/>
          <w:szCs w:val="22"/>
          <w:u w:val="single"/>
        </w:rPr>
      </w:pPr>
      <w:r>
        <w:rPr>
          <w:b/>
          <w:bC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sz w:val="22"/>
              </w:rPr>
              <w:t>INLAND PAPERBOARD AND PACKAGING, INC., a corporation organized under the law of the State of Delaware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U.S.$100,000,000 (or its equivalent in another currency); and with respect to Party B’s Credit Support Provider, U.S. $100,000,000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 xml:space="preserve">.”  In addition, Party A and Party B agree that the phrase “materially weaker” as used in Section 5(b)(iv) shall mean with respect to any entity that has a Credit Rating, either (i) the failure of any resulting, surviving or transferee entity to have a Credit Rating from S&amp;P of at least BBB- or (ii) if the resulting, surviving or transferee entity has a Credit Rating from S&amp;P that is one whole letter grade below the Credit Rating of X, any Credit Support Provider of X or any applicable Specified Entity of X immediately prior to the consolidation, merger or asset sale.   </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240" w:after="0"/>
        <w:ind w:firstLine="720" w:end="0"/>
        <w:jc w:val="both"/>
        <w:rPr/>
      </w:pPr>
      <w:r>
        <w:rPr>
          <w:sz w:val="22"/>
          <w:szCs w:val="22"/>
        </w:rPr>
        <w:t>(i)</w:t>
      </w:r>
      <w:r>
        <w:rPr>
          <w:b/>
          <w:bCs/>
          <w:sz w:val="22"/>
          <w:szCs w:val="22"/>
        </w:rPr>
        <w:tab/>
        <w:t>“Specified Indebtedness”</w:t>
      </w:r>
      <w:r>
        <w:rPr>
          <w:sz w:val="22"/>
          <w:szCs w:val="22"/>
        </w:rPr>
        <w:t xml:space="preserve"> has the meaning set forth in Section 14.</w:t>
      </w:r>
    </w:p>
    <w:p>
      <w:pPr>
        <w:pStyle w:val="Normal"/>
        <w:spacing w:lineRule="exact" w:line="240" w:before="240" w:after="0"/>
        <w:ind w:firstLine="720" w:end="0"/>
        <w:jc w:val="both"/>
        <w:rPr/>
      </w:pPr>
      <w:r>
        <w:rPr>
          <w:sz w:val="22"/>
          <w:szCs w:val="22"/>
        </w:rPr>
        <w:t>(j)</w:t>
      </w:r>
      <w:r>
        <w:rPr>
          <w:b/>
          <w:bCs/>
          <w:sz w:val="22"/>
          <w:szCs w:val="22"/>
        </w:rPr>
        <w:tab/>
        <w:t>“Specified Transaction”</w:t>
      </w:r>
      <w:r>
        <w:rPr>
          <w:sz w:val="22"/>
          <w:szCs w:val="22"/>
        </w:rPr>
        <w:t xml:space="preserve"> has the meaning set forth in Section 14.</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corporation organized under the laws of the State of Delaware.</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Normal"/>
        <w:tabs>
          <w:tab w:val="clear" w:pos="720"/>
          <w:tab w:val="left" w:pos="990" w:leader="none"/>
        </w:tabs>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Documents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 xml:space="preserve">Promptly following demand by Party A, but in no event later than 120 days after the end of each fiscal year of Party B’s Credit Support Provider if such Financial Statement is not available on “EDGAR” or Party B’s Credit Support Provider’s home page on the World Wide Web at </w:t>
            </w:r>
            <w:hyperlink r:id="rId2">
              <w:r>
                <w:rPr>
                  <w:rStyle w:val="Hyperlink"/>
                </w:rPr>
                <w:t>www.templeinland.com</w:t>
              </w:r>
            </w:hyperlink>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B’s Credit Support Provider</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B’s Credit Support Provider</w:t>
            </w:r>
            <w:r>
              <w:rPr/>
              <w:t xml:space="preserve"> </w:t>
            </w:r>
            <w:r>
              <w:rPr>
                <w:sz w:val="22"/>
              </w:rPr>
              <w:t xml:space="preserve">if such Financial Statement is not available on “EDGAR” or Party B’s Credit Support Provider’s home page on the World Wide Web at </w:t>
            </w:r>
            <w:hyperlink r:id="rId3">
              <w:r>
                <w:rPr>
                  <w:rStyle w:val="Hyperlink"/>
                  <w:sz w:val="22"/>
                </w:rPr>
                <w:t>www.templeinland.com</w:t>
              </w:r>
            </w:hyperlink>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Inland Paperboard and Packaging, Inc.</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4030 Vincennes Road</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Indianapolis, Indiana 46268-0937</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Julie Beck, Vice President, Finance</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(317) 337-8860</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(317) 879-4222</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(ii) Guaranty dated as of the date hereof by Temple-Inland Inc. in favor of Party A as beneficiary thereof in the form attached hereto as </w:t>
      </w:r>
      <w:r>
        <w:rPr>
          <w:sz w:val="22"/>
          <w:szCs w:val="22"/>
          <w:u w:val="single"/>
        </w:rPr>
        <w:t>Exhibit B</w:t>
      </w:r>
      <w:r>
        <w:rPr>
          <w:sz w:val="22"/>
          <w:szCs w:val="22"/>
        </w:rPr>
        <w:t xml:space="preserve">, 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Temple-Inland Inc.</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 such that payment netting is permitting with respect to amounts payable under Transactions on the same payment date and in the same currency.</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required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sz w:val="22"/>
          <w:szCs w:val="22"/>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r>
        <w:rPr>
          <w:rStyle w:val="FootnoteCharacters"/>
          <w:rStyle w:val="FootnoteReference"/>
          <w:color w:val="FF0000"/>
          <w:sz w:val="20"/>
          <w:szCs w:val="20"/>
        </w:rPr>
        <w:footnoteReference w:id="2"/>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  In the event of any inconsistency between the provisions of this Agreement and any Confirmation, such Confirmation will prevail for the purpose of the relevant Transaction.</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and/or Party B may transfer its rights and obligations under this Agreement, in whole but not in part, to any Affiliate so long as the obligations of such Affiliate are guaranteed by Enron Corp., with respect to Party A, and Temple-Inland Inc., with respect to Party B, pursuant to a guaranty substantially similar to the one provided on behalf of Party A and Party B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 and Default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xml:space="preserve">, that if the payee is a Defaulting Party for purposes of Section 6(e), then the rate shall be the Non-default Rate.”  The definition of </w:t>
      </w:r>
      <w:r>
        <w:rPr>
          <w:b/>
          <w:bCs/>
          <w:sz w:val="22"/>
          <w:szCs w:val="22"/>
        </w:rPr>
        <w:t>“Default Rate”</w:t>
      </w:r>
      <w:r>
        <w:rPr>
          <w:sz w:val="22"/>
          <w:szCs w:val="22"/>
        </w:rPr>
        <w:t xml:space="preserve"> set forth in Section 14 is hereby amended to read in its entirety as follows:  </w:t>
      </w:r>
      <w:r>
        <w:rPr>
          <w:b/>
          <w:bCs/>
          <w:i/>
          <w:iCs/>
          <w:sz w:val="22"/>
          <w:szCs w:val="22"/>
        </w:rPr>
        <w:t>““Default Rate”</w:t>
      </w:r>
      <w:r>
        <w:rPr>
          <w:sz w:val="22"/>
          <w:szCs w:val="22"/>
        </w:rPr>
        <w:t xml:space="preserve"> means a per annum rate of interest equal to the prime lending rate as may from time to time be published in The Wall street Journal under “Money Rates” plus 2%.”</w:t>
      </w:r>
      <w:r>
        <w:rPr>
          <w:b/>
          <w:bCs/>
          <w:sz w:val="22"/>
          <w:szCs w:val="22"/>
        </w:rPr>
        <w:t xml:space="preserve"> </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INLAND PAPERBOARD AND PACKAGING, INC.</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4"/>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FORM OF GUARANTY (PARTY B)</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INLAND PAPERBOARD AND PACKAGING, INC., a corporation organized under the law of the State of Delaware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$500,000 for Party A and $500,000 for Party B </w:t>
      </w:r>
      <w:r>
        <w:rPr>
          <w:sz w:val="22"/>
          <w:szCs w:val="22"/>
        </w:rPr>
        <w:t xml:space="preserve">and the Return Amount will be rounded down to the nearest integral multiple of U.S. </w:t>
      </w:r>
      <w:r>
        <w:rPr>
          <w:color w:val="000000"/>
          <w:sz w:val="22"/>
          <w:szCs w:val="22"/>
        </w:rPr>
        <w:t>$500,000 for Party A and $500,000 for Party B.</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BodyTextIndent"/>
        <w:spacing w:lineRule="auto" w:line="240" w:before="0" w:after="0"/>
        <w:rPr/>
      </w:pPr>
      <w:r>
        <w:rPr/>
        <w:t>(v)  Paragraph 4(b) is hereby amended to read in its entirety as follows:</w:t>
        <w:tab/>
      </w:r>
    </w:p>
    <w:p>
      <w:pPr>
        <w:pStyle w:val="Normal"/>
        <w:ind w:hanging="720" w:start="720" w:end="0"/>
        <w:jc w:val="both"/>
        <w:rPr>
          <w:sz w:val="22"/>
          <w:szCs w:val="22"/>
        </w:rPr>
      </w:pPr>
      <w:r>
        <w:rPr>
          <w:sz w:val="22"/>
          <w:szCs w:val="22"/>
        </w:rPr>
      </w:r>
    </w:p>
    <w:p>
      <w:pPr>
        <w:pStyle w:val="ListBullet2"/>
        <w:ind w:hanging="0" w:start="1440" w:end="0"/>
        <w:jc w:val="both"/>
        <w:rPr/>
      </w:pPr>
      <w:r>
        <w:rPr>
          <w:bCs/>
          <w:iCs/>
          <w:sz w:val="22"/>
        </w:rPr>
        <w:t>“</w:t>
      </w:r>
      <w:r>
        <w:rPr>
          <w:bCs/>
          <w:iCs/>
          <w:sz w:val="22"/>
        </w:rPr>
        <w:t>(b)</w:t>
        <w:tab/>
      </w:r>
      <w:r>
        <w:rPr>
          <w:b/>
          <w:bCs/>
          <w:i/>
          <w:iCs/>
          <w:sz w:val="22"/>
        </w:rPr>
        <w:t>Transfer Timing</w:t>
      </w:r>
      <w:r>
        <w:rPr>
          <w:sz w:val="22"/>
        </w:rPr>
        <w:t xml:space="preserve">.  Subject </w:t>
      </w:r>
      <w:r>
        <w:rPr>
          <w:bCs/>
          <w:sz w:val="22"/>
        </w:rPr>
        <w:t>to</w:t>
      </w:r>
      <w:r>
        <w:rPr>
          <w:sz w:val="22"/>
        </w:rPr>
        <w:t xml:space="preserve"> Paragraphs 4(a) and 5 and unless otherwise specified, (i) if </w:t>
      </w:r>
      <w:r>
        <w:rPr>
          <w:bCs/>
          <w:sz w:val="22"/>
        </w:rPr>
        <w:t>a</w:t>
      </w:r>
      <w:r>
        <w:rPr>
          <w:sz w:val="22"/>
        </w:rPr>
        <w:t xml:space="preserve"> demand for the Transfer of Eligible Credit Support is made by the Notification Time, then the relevant Transfer will be made not later than the close of business on the next Local Business Day; if a demand is made after the Notification Time, then the relevant Transfer will be made not later than the close of business on the second Local Business Day thereafter and (ii) if </w:t>
      </w:r>
      <w:r>
        <w:rPr>
          <w:bCs/>
          <w:sz w:val="22"/>
        </w:rPr>
        <w:t>a</w:t>
      </w:r>
      <w:r>
        <w:rPr>
          <w:sz w:val="22"/>
        </w:rPr>
        <w:t xml:space="preserve"> demand for the Transfer of Posted Credit Support is made, then the relevant Transfer will be made not later than the close of business on the fifth Local Business Day thereafter.”</w:t>
      </w:r>
    </w:p>
    <w:p>
      <w:pPr>
        <w:pStyle w:val="ListBullet2"/>
        <w:tabs>
          <w:tab w:val="clear" w:pos="720"/>
          <w:tab w:val="left" w:pos="360" w:leader="none"/>
        </w:tabs>
        <w:ind w:hanging="0" w:start="0" w:end="0"/>
        <w:jc w:val="both"/>
        <w:rPr>
          <w:sz w:val="22"/>
        </w:rPr>
      </w:pPr>
      <w:r>
        <w:rPr>
          <w:sz w:val="22"/>
        </w:rPr>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sz w:val="22"/>
          <w:szCs w:val="22"/>
        </w:rPr>
      </w:pPr>
      <w:r>
        <w:rPr>
          <w:sz w:val="22"/>
          <w:szCs w:val="22"/>
        </w:rPr>
        <w:t>(iv)  The provisions of Paragraph 5(i)(B) are hereby amended by deleting the language immediately after the word “and” in line 5 thereof and inserting the following language in its place:</w:t>
      </w:r>
    </w:p>
    <w:p>
      <w:pPr>
        <w:pStyle w:val="Normal"/>
        <w:spacing w:before="240" w:after="0"/>
        <w:ind w:start="720" w:end="0"/>
        <w:jc w:val="both"/>
        <w:rPr>
          <w:sz w:val="22"/>
          <w:szCs w:val="22"/>
        </w:rPr>
      </w:pPr>
      <w:r>
        <w:rPr>
          <w:sz w:val="22"/>
          <w:szCs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(1) Party B is not a Defaulting Party and Party B’s Credit Support Provider has a Credit Rating</w:t>
      </w:r>
      <w:r>
        <w:rPr>
          <w:color w:val="000000"/>
          <w:sz w:val="22"/>
          <w:szCs w:val="22"/>
        </w:rPr>
        <w:t xml:space="preserve"> from S&amp;P</w:t>
      </w:r>
      <w:r>
        <w:rPr>
          <w:sz w:val="22"/>
          <w:szCs w:val="22"/>
        </w:rPr>
        <w:t xml:space="preserve"> and the lowest Credit Rating for Party B’s Credit Support Provider is “BBB-” or higher by S&amp;P.</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within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and “A1”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t xml:space="preserve"> </w:t>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and/or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such bank having a Credit Rating of at least “A+” by S&amp;P and “A1”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w:t>
      </w:r>
      <w:r>
        <w:rPr>
          <w:color w:val="FF0000"/>
          <w:sz w:val="22"/>
          <w:szCs w:val="22"/>
        </w:rPr>
        <w:t xml:space="preserve"> </w:t>
      </w:r>
      <w:r>
        <w:rPr>
          <w:sz w:val="22"/>
          <w:szCs w:val="22"/>
        </w:rPr>
        <w:t>or its Credit Support Provider fails to have a Credit Rating from S&amp;P; or (b) with respect to Party B, its Credit Support Provider’s Credit Rating is below “BBB-” by S&amp;P or its Credit Support Provider fails to have a Credit Rating from S&amp;P.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5"/>
          <w:footerReference w:type="first" r:id="rId6"/>
          <w:footnotePr>
            <w:numFmt w:val="decimal"/>
          </w:footnotePr>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tenth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“A1”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7"/>
          <w:footerReference w:type="default" r:id="rId8"/>
          <w:footerReference w:type="first" r:id="rId9"/>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r>
        <w:br w:type="page"/>
      </w:r>
    </w:p>
    <w:p>
      <w:pPr>
        <w:pStyle w:val="Heading5"/>
        <w:ind w:hanging="0" w:start="0"/>
        <w:rPr>
          <w:sz w:val="22"/>
          <w:szCs w:val="22"/>
        </w:rPr>
      </w:pPr>
      <w:r>
        <w:rPr>
          <w:sz w:val="22"/>
          <w:szCs w:val="22"/>
        </w:rPr>
      </w:r>
    </w:p>
    <w:p>
      <w:pPr>
        <w:pStyle w:val="Normal"/>
        <w:ind w:end="180"/>
        <w:jc w:val="center"/>
        <w:rPr>
          <w:b/>
          <w:bCs/>
          <w:sz w:val="22"/>
          <w:szCs w:val="22"/>
          <w:u w:val="single"/>
        </w:rPr>
      </w:pPr>
      <w:r>
        <w:rPr>
          <w:b/>
          <w:bCs/>
          <w:sz w:val="22"/>
          <w:szCs w:val="22"/>
          <w:u w:val="single"/>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xml:space="preserve">,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WHEREAS, INLAND PAPERBOARD AND PACKAGING, INC., a Delaware corporation (“Counterparty”), and ENRON NORTH AMERICA CORP., a Delaware corporation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is or may be entitled to arising from or out of the Contract,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pPr>
            <w:r>
              <w:rPr/>
              <w:t>To Counterparty:</w:t>
            </w:r>
          </w:p>
        </w:tc>
        <w:tc>
          <w:tcPr>
            <w:tcW w:w="3330" w:type="dxa"/>
            <w:tcBorders/>
          </w:tcPr>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cPr>
                <w:p>
                  <w:pPr>
                    <w:pStyle w:val="Normal"/>
                    <w:keepNext w:val="true"/>
                    <w:keepLines/>
                    <w:tabs>
                      <w:tab w:val="clear" w:pos="720"/>
                      <w:tab w:val="left" w:pos="3132" w:leader="none"/>
                    </w:tabs>
                    <w:spacing w:lineRule="atLeast" w:line="240"/>
                    <w:rPr>
                      <w:color w:val="000000"/>
                      <w:sz w:val="22"/>
                    </w:rPr>
                  </w:pPr>
                  <w:r>
                    <w:rPr>
                      <w:color w:val="000000"/>
                      <w:sz w:val="22"/>
                    </w:rPr>
                    <w:t>Inland Paperboard and Packaging,</w:t>
                  </w:r>
                </w:p>
                <w:p>
                  <w:pPr>
                    <w:pStyle w:val="Normal"/>
                    <w:keepNext w:val="true"/>
                    <w:keepLines/>
                    <w:tabs>
                      <w:tab w:val="clear" w:pos="720"/>
                      <w:tab w:val="left" w:pos="3132" w:leader="none"/>
                    </w:tabs>
                    <w:spacing w:lineRule="atLeast" w:line="240"/>
                    <w:rPr>
                      <w:color w:val="000000"/>
                      <w:sz w:val="22"/>
                    </w:rPr>
                  </w:pPr>
                  <w:r>
                    <w:rPr>
                      <w:color w:val="000000"/>
                      <w:sz w:val="22"/>
                    </w:rPr>
                    <w:t>Inc.</w:t>
                  </w:r>
                </w:p>
              </w:tc>
            </w:tr>
            <w:tr>
              <w:trPr/>
              <w:tc>
                <w:tcPr>
                  <w:tcW w:w="10188"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4030 Vincennes Road</w:t>
                  </w:r>
                </w:p>
                <w:p>
                  <w:pPr>
                    <w:pStyle w:val="Normal"/>
                    <w:keepNext w:val="true"/>
                    <w:keepLines/>
                    <w:tabs>
                      <w:tab w:val="clear" w:pos="720"/>
                      <w:tab w:val="left" w:pos="3132" w:leader="none"/>
                    </w:tabs>
                    <w:spacing w:lineRule="atLeast" w:line="240"/>
                    <w:rPr>
                      <w:color w:val="000000"/>
                      <w:sz w:val="22"/>
                    </w:rPr>
                  </w:pPr>
                  <w:r>
                    <w:rPr>
                      <w:color w:val="000000"/>
                      <w:sz w:val="22"/>
                    </w:rPr>
                    <w:t>Indianapolis, Indiana 46268-0937</w:t>
                  </w:r>
                </w:p>
              </w:tc>
            </w:tr>
            <w:tr>
              <w:trPr/>
              <w:tc>
                <w:tcPr>
                  <w:tcW w:w="10188" w:type="dxa"/>
                  <w:tcBorders/>
                </w:tcPr>
                <w:p>
                  <w:pPr>
                    <w:pStyle w:val="Normal"/>
                    <w:keepNext w:val="true"/>
                    <w:keepLines/>
                    <w:tabs>
                      <w:tab w:val="clear" w:pos="720"/>
                      <w:tab w:val="left" w:pos="3132" w:leader="none"/>
                    </w:tabs>
                    <w:spacing w:lineRule="atLeast" w:line="240"/>
                    <w:rPr>
                      <w:sz w:val="22"/>
                    </w:rPr>
                  </w:pPr>
                  <w:r>
                    <w:rPr>
                      <w:sz w:val="22"/>
                    </w:rPr>
                    <w:t xml:space="preserve">Attn.: Julie Beck, Vice President, </w:t>
                  </w:r>
                </w:p>
                <w:p>
                  <w:pPr>
                    <w:pStyle w:val="Normal"/>
                    <w:keepNext w:val="true"/>
                    <w:keepLines/>
                    <w:tabs>
                      <w:tab w:val="clear" w:pos="720"/>
                      <w:tab w:val="left" w:pos="3132" w:leader="none"/>
                    </w:tabs>
                    <w:spacing w:lineRule="atLeast" w:line="240"/>
                    <w:rPr>
                      <w:color w:val="000000"/>
                      <w:sz w:val="22"/>
                      <w:szCs w:val="22"/>
                    </w:rPr>
                  </w:pPr>
                  <w:r>
                    <w:rPr>
                      <w:sz w:val="22"/>
                    </w:rPr>
                    <w:t>Finance</w:t>
                  </w:r>
                </w:p>
              </w:tc>
            </w:tr>
            <w:tr>
              <w:trPr/>
              <w:tc>
                <w:tcPr>
                  <w:tcW w:w="10188"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sz w:val="22"/>
                    </w:rPr>
                    <w:t>(317) 337-8860</w:t>
                  </w:r>
                </w:p>
              </w:tc>
            </w:tr>
          </w:tbl>
          <w:p>
            <w:pPr>
              <w:pStyle w:val="Normal"/>
              <w:keepNext w:val="true"/>
              <w:keepLines/>
              <w:tabs>
                <w:tab w:val="clear" w:pos="720"/>
                <w:tab w:val="left" w:pos="3132" w:leader="none"/>
              </w:tabs>
              <w:spacing w:lineRule="atLeast" w:line="240"/>
              <w:rPr>
                <w:color w:val="000000"/>
                <w:sz w:val="22"/>
                <w:szCs w:val="22"/>
              </w:rPr>
            </w:pPr>
            <w:r>
              <w:rPr>
                <w:color w:val="000000"/>
                <w:sz w:val="22"/>
                <w:szCs w:val="22"/>
              </w:rPr>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tbl>
            <w:tblPr>
              <w:tblW w:w="10188" w:type="dxa"/>
              <w:jc w:val="start"/>
              <w:tblInd w:w="0" w:type="dxa"/>
              <w:tblLayout w:type="fixed"/>
              <w:tblCellMar>
                <w:top w:w="0" w:type="dxa"/>
                <w:start w:w="108" w:type="dxa"/>
                <w:bottom w:w="0" w:type="dxa"/>
                <w:end w:w="108" w:type="dxa"/>
              </w:tblCellMar>
            </w:tblPr>
            <w:tblGrid>
              <w:gridCol w:w="10188"/>
            </w:tblGrid>
            <w:tr>
              <w:trPr/>
              <w:tc>
                <w:tcPr>
                  <w:tcW w:w="10188"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0188"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0188"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0188"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keepNext w:val="true"/>
              <w:keepLines/>
              <w:tabs>
                <w:tab w:val="clear" w:pos="720"/>
                <w:tab w:val="right" w:pos="2988" w:leader="none"/>
              </w:tabs>
              <w:spacing w:lineRule="atLeast" w:line="240"/>
              <w:rPr>
                <w:color w:val="000000"/>
                <w:sz w:val="22"/>
                <w:szCs w:val="22"/>
              </w:rPr>
            </w:pPr>
            <w:r>
              <w:rPr>
                <w:color w:val="000000"/>
                <w:sz w:val="22"/>
                <w:szCs w:val="22"/>
              </w:rPr>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r>
          </w:p>
        </w:tc>
      </w:tr>
    </w:tbl>
    <w:p>
      <w:pPr>
        <w:pStyle w:val="Normal"/>
        <w:spacing w:lineRule="atLeast" w:line="24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10"/>
          <w:headerReference w:type="first" r:id="rId11"/>
          <w:footerReference w:type="default" r:id="rId12"/>
          <w:footerReference w:type="first" r:id="rId13"/>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pacing w:lineRule="exact" w:line="240"/>
        <w:ind w:end="720"/>
        <w:jc w:val="center"/>
        <w:rPr>
          <w:b/>
          <w:bCs/>
          <w:sz w:val="22"/>
          <w:szCs w:val="22"/>
        </w:rPr>
      </w:pPr>
      <w:r>
        <w:rPr>
          <w:b/>
          <w:bCs/>
          <w:sz w:val="22"/>
          <w:szCs w:val="22"/>
          <w:u w:val="single"/>
        </w:rPr>
        <w:t xml:space="preserve">EXHIBIT </w:t>
      </w:r>
      <w:r>
        <w:rPr>
          <w:b/>
          <w:bCs/>
          <w:color w:val="FF0000"/>
          <w:sz w:val="22"/>
          <w:szCs w:val="22"/>
          <w:u w:val="single"/>
        </w:rPr>
        <w:t>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color w:val="000000"/>
          <w:sz w:val="22"/>
          <w:szCs w:val="22"/>
        </w:rPr>
      </w:pPr>
      <w:r>
        <w:rPr>
          <w:b/>
          <w:bCs/>
          <w:color w:val="FF0000"/>
          <w:sz w:val="22"/>
          <w:szCs w:val="22"/>
        </w:rPr>
        <w:t>TEMPLE-INLAND INC.</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tab/>
      </w:r>
      <w:r>
        <w:rPr>
          <w:sz w:val="22"/>
          <w:szCs w:val="22"/>
        </w:rPr>
        <w:t>, 2001 (the “Effective Date”), is made and entered into by TEMPLE INLAND INC., a Delaware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INLAND PAPERBOARD AND PACKAGING, INC. wholly-owned subsidiary of Guarantor (“Counterparty”), and </w:t>
      </w:r>
      <w:r>
        <w:rPr>
          <w:caps/>
          <w:sz w:val="22"/>
          <w:szCs w:val="22"/>
        </w:rPr>
        <w:t>Enron NORTH AMERICA Corp.</w:t>
      </w:r>
      <w:r>
        <w:rPr>
          <w:sz w:val="22"/>
          <w:szCs w:val="22"/>
        </w:rPr>
        <w:t xml:space="preserve">, a Delaware corporation (“Enron”),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this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sz w:val="22"/>
          <w:szCs w:val="22"/>
        </w:rPr>
      </w:pPr>
      <w:r>
        <w:rPr>
          <w:sz w:val="22"/>
          <w:szCs w:val="22"/>
        </w:rPr>
        <w:t xml:space="preserve">(a)  it is a corporation duly organized and validly existing under the laws of the State of Delaware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is or may be entitled to arising from or out of the Contract,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6.</w:t>
        <w:tab/>
      </w:r>
      <w:r>
        <w:rPr>
          <w:sz w:val="22"/>
          <w:szCs w:val="22"/>
          <w:u w:val="single"/>
        </w:rPr>
        <w:t>WAIVERS</w:t>
      </w:r>
      <w:r>
        <w:rPr>
          <w:sz w:val="22"/>
          <w:szCs w:val="22"/>
        </w:rPr>
        <w:t xml:space="preserve">.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w:t>
      </w:r>
    </w:p>
    <w:p>
      <w:pPr>
        <w:pStyle w:val="Normal"/>
        <w:spacing w:lineRule="atLeast" w:line="240"/>
        <w:ind w:start="720" w:end="0"/>
        <w:jc w:val="both"/>
        <w:rPr>
          <w:sz w:val="22"/>
          <w:szCs w:val="22"/>
        </w:rPr>
      </w:pPr>
      <w:r>
        <w:rPr>
          <w:sz w:val="22"/>
          <w:szCs w:val="22"/>
        </w:rPr>
      </w:r>
    </w:p>
    <w:p>
      <w:pPr>
        <w:pStyle w:val="BodyTextIndent"/>
        <w:spacing w:lineRule="atLeast" w:line="240" w:before="0" w:after="0"/>
        <w:ind w:firstLine="720" w:start="0" w:end="0"/>
        <w:rPr/>
      </w:pPr>
      <w:r>
        <w:rPr/>
        <w:t xml:space="preserve">Except as to applicable statutes of limitation, no delay of Enron in the exercise of, or failure to exercise, any rights hereunder shall operate as a waiver of such rights, a waiver of any other rights or a release of Guarantor from any obligations hereunder. </w:t>
      </w:r>
    </w:p>
    <w:p>
      <w:pPr>
        <w:pStyle w:val="Normal"/>
        <w:spacing w:lineRule="atLeast" w:line="240"/>
        <w:ind w:start="720" w:end="0"/>
        <w:jc w:val="both"/>
        <w:rPr>
          <w:sz w:val="22"/>
          <w:szCs w:val="22"/>
        </w:rPr>
      </w:pPr>
      <w:r>
        <w:rPr>
          <w:sz w:val="22"/>
          <w:szCs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Times New Roman" w:hAnsi="Times New Roman" w:cs="Times New Roman"/>
          <w:sz w:val="22"/>
          <w:szCs w:val="22"/>
        </w:rPr>
      </w:pPr>
      <w:r>
        <w:rPr>
          <w:rFonts w:cs="Times New Roman"/>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tbl>
            <w:tblPr>
              <w:tblW w:w="10098" w:type="dxa"/>
              <w:jc w:val="start"/>
              <w:tblInd w:w="0" w:type="dxa"/>
              <w:tblLayout w:type="fixed"/>
              <w:tblCellMar>
                <w:top w:w="0" w:type="dxa"/>
                <w:start w:w="108" w:type="dxa"/>
                <w:bottom w:w="0" w:type="dxa"/>
                <w:end w:w="108" w:type="dxa"/>
              </w:tblCellMar>
            </w:tblPr>
            <w:tblGrid>
              <w:gridCol w:w="10098"/>
            </w:tblGrid>
            <w:tr>
              <w:trPr/>
              <w:tc>
                <w:tcPr>
                  <w:tcW w:w="10098" w:type="dxa"/>
                  <w:tcBorders/>
                </w:tcPr>
                <w:p>
                  <w:pPr>
                    <w:pStyle w:val="Normal"/>
                    <w:keepNext w:val="true"/>
                    <w:keepLines/>
                    <w:spacing w:lineRule="atLeast" w:line="240"/>
                    <w:rPr>
                      <w:sz w:val="22"/>
                      <w:szCs w:val="22"/>
                    </w:rPr>
                  </w:pPr>
                  <w:r>
                    <w:rPr>
                      <w:sz w:val="22"/>
                      <w:szCs w:val="22"/>
                    </w:rPr>
                    <w:t xml:space="preserve">Enron North America Corp. </w:t>
                  </w:r>
                </w:p>
              </w:tc>
            </w:tr>
            <w:tr>
              <w:trPr/>
              <w:tc>
                <w:tcPr>
                  <w:tcW w:w="10098" w:type="dxa"/>
                  <w:tcBorders/>
                </w:tcPr>
                <w:p>
                  <w:pPr>
                    <w:pStyle w:val="Normal"/>
                    <w:keepNext w:val="true"/>
                    <w:keepLines/>
                    <w:spacing w:lineRule="atLeast" w:line="240"/>
                    <w:rPr>
                      <w:sz w:val="22"/>
                      <w:szCs w:val="22"/>
                    </w:rPr>
                  </w:pPr>
                  <w:r>
                    <w:rPr>
                      <w:sz w:val="22"/>
                      <w:szCs w:val="22"/>
                    </w:rPr>
                    <w:t>1400 Smith Street</w:t>
                  </w:r>
                </w:p>
              </w:tc>
            </w:tr>
            <w:tr>
              <w:trPr/>
              <w:tc>
                <w:tcPr>
                  <w:tcW w:w="10098" w:type="dxa"/>
                  <w:tcBorders/>
                </w:tcPr>
                <w:p>
                  <w:pPr>
                    <w:pStyle w:val="Normal"/>
                    <w:keepNext w:val="true"/>
                    <w:keepLines/>
                    <w:spacing w:lineRule="atLeast" w:line="240"/>
                    <w:rPr>
                      <w:sz w:val="22"/>
                      <w:szCs w:val="22"/>
                    </w:rPr>
                  </w:pPr>
                  <w:r>
                    <w:rPr>
                      <w:sz w:val="22"/>
                      <w:szCs w:val="22"/>
                    </w:rPr>
                    <w:t>Houston, Texas 77002</w:t>
                  </w:r>
                </w:p>
              </w:tc>
            </w:tr>
            <w:tr>
              <w:trPr/>
              <w:tc>
                <w:tcPr>
                  <w:tcW w:w="10098" w:type="dxa"/>
                  <w:tcBorders/>
                </w:tcPr>
                <w:p>
                  <w:pPr>
                    <w:pStyle w:val="Normal"/>
                    <w:keepNext w:val="true"/>
                    <w:keepLines/>
                    <w:spacing w:lineRule="atLeast" w:line="240"/>
                    <w:rPr>
                      <w:sz w:val="22"/>
                      <w:szCs w:val="22"/>
                    </w:rPr>
                  </w:pPr>
                  <w:r>
                    <w:rPr>
                      <w:sz w:val="22"/>
                      <w:szCs w:val="22"/>
                    </w:rPr>
                    <w:t>Attn.:  Director, Documentation Department</w:t>
                  </w:r>
                </w:p>
              </w:tc>
            </w:tr>
            <w:tr>
              <w:trPr/>
              <w:tc>
                <w:tcPr>
                  <w:tcW w:w="10098" w:type="dxa"/>
                  <w:tcBorders/>
                </w:tcPr>
                <w:p>
                  <w:pPr>
                    <w:pStyle w:val="Normal"/>
                    <w:keepNext w:val="true"/>
                    <w:keepLines/>
                    <w:spacing w:lineRule="atLeast" w:line="240"/>
                    <w:rPr>
                      <w:sz w:val="22"/>
                      <w:szCs w:val="22"/>
                    </w:rPr>
                  </w:pPr>
                  <w:r>
                    <w:rPr>
                      <w:sz w:val="22"/>
                      <w:szCs w:val="22"/>
                    </w:rPr>
                    <w:t>Fax No.:  (713) 646-4816</w:t>
                  </w:r>
                </w:p>
              </w:tc>
            </w:tr>
          </w:tbl>
          <w:p>
            <w:pPr>
              <w:pStyle w:val="Normal"/>
              <w:keepNext w:val="true"/>
              <w:keepLines/>
              <w:spacing w:lineRule="atLeast" w:line="240"/>
              <w:rPr>
                <w:sz w:val="22"/>
                <w:szCs w:val="22"/>
              </w:rPr>
            </w:pPr>
            <w:r>
              <w:rPr>
                <w:sz w:val="22"/>
                <w:szCs w:val="22"/>
              </w:rPr>
            </w:r>
          </w:p>
        </w:tc>
        <w:tc>
          <w:tcPr>
            <w:tcW w:w="1620" w:type="dxa"/>
            <w:tcBorders/>
          </w:tcPr>
          <w:p>
            <w:pPr>
              <w:pStyle w:val="Normal"/>
              <w:keepNext w:val="true"/>
              <w:keepLines/>
              <w:spacing w:lineRule="atLeast" w:line="240"/>
              <w:rPr/>
            </w:pPr>
            <w:r>
              <w:rPr/>
              <w:t>To Guarantor:</w:t>
            </w:r>
          </w:p>
        </w:tc>
        <w:tc>
          <w:tcPr>
            <w:tcW w:w="3150" w:type="dxa"/>
            <w:tcBorders/>
          </w:tcPr>
          <w:tbl>
            <w:tblPr>
              <w:tblW w:w="10098" w:type="dxa"/>
              <w:jc w:val="start"/>
              <w:tblInd w:w="0" w:type="dxa"/>
              <w:tblLayout w:type="fixed"/>
              <w:tblCellMar>
                <w:top w:w="0" w:type="dxa"/>
                <w:start w:w="108" w:type="dxa"/>
                <w:bottom w:w="0" w:type="dxa"/>
                <w:end w:w="108" w:type="dxa"/>
              </w:tblCellMar>
            </w:tblPr>
            <w:tblGrid>
              <w:gridCol w:w="10098"/>
            </w:tblGrid>
            <w:tr>
              <w:trPr/>
              <w:tc>
                <w:tcPr>
                  <w:tcW w:w="10098" w:type="dxa"/>
                  <w:tcBorders/>
                </w:tcPr>
                <w:p>
                  <w:pPr>
                    <w:pStyle w:val="BodyText"/>
                    <w:keepNext w:val="true"/>
                    <w:keepLines/>
                    <w:widowControl/>
                    <w:tabs>
                      <w:tab w:val="clear" w:pos="720"/>
                      <w:tab w:val="right" w:pos="2988" w:leader="none"/>
                    </w:tabs>
                    <w:spacing w:lineRule="atLeast" w:line="240"/>
                    <w:rPr>
                      <w:u w:val="single"/>
                    </w:rPr>
                  </w:pPr>
                  <w:r>
                    <w:rPr/>
                    <w:t>Temple-Inland Inc.</w:t>
                  </w:r>
                </w:p>
                <w:p>
                  <w:pPr>
                    <w:pStyle w:val="Normal"/>
                    <w:keepNext w:val="true"/>
                    <w:keepLines/>
                    <w:tabs>
                      <w:tab w:val="clear" w:pos="720"/>
                      <w:tab w:val="right" w:pos="2988" w:leader="none"/>
                    </w:tabs>
                    <w:spacing w:lineRule="atLeast" w:line="240"/>
                    <w:rPr>
                      <w:sz w:val="22"/>
                      <w:szCs w:val="22"/>
                      <w:u w:val="single"/>
                    </w:rPr>
                  </w:pPr>
                  <w:r>
                    <w:rPr>
                      <w:sz w:val="22"/>
                      <w:szCs w:val="22"/>
                      <w:u w:val="single"/>
                    </w:rPr>
                  </w:r>
                </w:p>
              </w:tc>
            </w:tr>
            <w:tr>
              <w:trPr/>
              <w:tc>
                <w:tcPr>
                  <w:tcW w:w="10098" w:type="dxa"/>
                  <w:tcBorders/>
                </w:tcPr>
                <w:p>
                  <w:pPr>
                    <w:pStyle w:val="Normal"/>
                    <w:keepNext w:val="true"/>
                    <w:keepLines/>
                    <w:tabs>
                      <w:tab w:val="clear" w:pos="720"/>
                      <w:tab w:val="right" w:pos="2988" w:leader="none"/>
                    </w:tabs>
                    <w:spacing w:lineRule="atLeast" w:line="240"/>
                    <w:ind w:end="72"/>
                    <w:rPr>
                      <w:sz w:val="22"/>
                      <w:szCs w:val="22"/>
                    </w:rPr>
                  </w:pPr>
                  <w:r>
                    <w:rPr>
                      <w:sz w:val="22"/>
                      <w:szCs w:val="22"/>
                    </w:rPr>
                    <w:t>303 South Temple Drive</w:t>
                  </w:r>
                </w:p>
              </w:tc>
            </w:tr>
            <w:tr>
              <w:trPr/>
              <w:tc>
                <w:tcPr>
                  <w:tcW w:w="10098" w:type="dxa"/>
                  <w:tcBorders/>
                </w:tcPr>
                <w:p>
                  <w:pPr>
                    <w:pStyle w:val="Normal"/>
                    <w:keepNext w:val="true"/>
                    <w:keepLines/>
                    <w:tabs>
                      <w:tab w:val="clear" w:pos="720"/>
                      <w:tab w:val="right" w:pos="2988" w:leader="none"/>
                    </w:tabs>
                    <w:spacing w:lineRule="atLeast" w:line="240"/>
                    <w:rPr>
                      <w:sz w:val="22"/>
                      <w:szCs w:val="22"/>
                    </w:rPr>
                  </w:pPr>
                  <w:r>
                    <w:rPr>
                      <w:sz w:val="22"/>
                      <w:szCs w:val="22"/>
                    </w:rPr>
                    <w:t>Diboll, Texas 75941</w:t>
                  </w:r>
                </w:p>
              </w:tc>
            </w:tr>
            <w:tr>
              <w:trPr/>
              <w:tc>
                <w:tcPr>
                  <w:tcW w:w="10098" w:type="dxa"/>
                  <w:tcBorders/>
                </w:tcPr>
                <w:p>
                  <w:pPr>
                    <w:pStyle w:val="Normal"/>
                    <w:keepNext w:val="true"/>
                    <w:keepLines/>
                    <w:tabs>
                      <w:tab w:val="clear" w:pos="720"/>
                      <w:tab w:val="right" w:pos="2988" w:leader="none"/>
                    </w:tabs>
                    <w:spacing w:lineRule="atLeast" w:line="240"/>
                    <w:rPr>
                      <w:sz w:val="22"/>
                      <w:szCs w:val="22"/>
                    </w:rPr>
                  </w:pPr>
                  <w:r>
                    <w:rPr>
                      <w:sz w:val="22"/>
                      <w:szCs w:val="22"/>
                    </w:rPr>
                    <w:t>Attn.: General Counsel</w:t>
                  </w:r>
                </w:p>
              </w:tc>
            </w:tr>
            <w:tr>
              <w:trPr/>
              <w:tc>
                <w:tcPr>
                  <w:tcW w:w="10098" w:type="dxa"/>
                  <w:tcBorders/>
                </w:tcPr>
                <w:p>
                  <w:pPr>
                    <w:pStyle w:val="Normal"/>
                    <w:keepNext w:val="true"/>
                    <w:keepLines/>
                    <w:tabs>
                      <w:tab w:val="clear" w:pos="720"/>
                      <w:tab w:val="right" w:pos="2988" w:leader="none"/>
                    </w:tabs>
                    <w:spacing w:lineRule="atLeast" w:line="240"/>
                    <w:rPr>
                      <w:sz w:val="22"/>
                      <w:szCs w:val="22"/>
                    </w:rPr>
                  </w:pPr>
                  <w:r>
                    <w:rPr>
                      <w:sz w:val="22"/>
                      <w:szCs w:val="22"/>
                    </w:rPr>
                    <w:t>Fax No.: (936) 829-3333</w:t>
                  </w:r>
                </w:p>
              </w:tc>
            </w:tr>
          </w:tbl>
          <w:p>
            <w:pPr>
              <w:pStyle w:val="Normal"/>
              <w:keepNext w:val="true"/>
              <w:keepLines/>
              <w:tabs>
                <w:tab w:val="clear" w:pos="720"/>
                <w:tab w:val="right" w:pos="2988" w:leader="none"/>
              </w:tabs>
              <w:spacing w:lineRule="atLeast" w:line="240"/>
              <w:rPr>
                <w:sz w:val="22"/>
                <w:szCs w:val="22"/>
                <w:u w:val="single"/>
              </w:rPr>
            </w:pPr>
            <w:r>
              <w:rPr>
                <w:sz w:val="22"/>
                <w:szCs w:val="22"/>
                <w:u w:val="single"/>
              </w:rPr>
            </w:r>
          </w:p>
          <w:p>
            <w:pPr>
              <w:pStyle w:val="Normal"/>
              <w:keepNext w:val="true"/>
              <w:keepLines/>
              <w:tabs>
                <w:tab w:val="clear" w:pos="720"/>
                <w:tab w:val="right" w:pos="2988" w:leader="none"/>
              </w:tabs>
              <w:spacing w:lineRule="atLeast" w:line="240"/>
              <w:rPr>
                <w:sz w:val="22"/>
                <w:szCs w:val="22"/>
                <w:u w:val="single"/>
              </w:rPr>
            </w:pPr>
            <w:r>
              <w:rPr>
                <w:sz w:val="22"/>
                <w:szCs w:val="22"/>
                <w:u w:val="single"/>
              </w:rPr>
            </w:r>
          </w:p>
          <w:p>
            <w:pPr>
              <w:pStyle w:val="Normal"/>
              <w:keepNext w:val="true"/>
              <w:keepLines/>
              <w:tabs>
                <w:tab w:val="clear" w:pos="720"/>
                <w:tab w:val="right" w:pos="2988" w:leader="none"/>
              </w:tabs>
              <w:spacing w:lineRule="atLeast" w:line="240"/>
              <w:rPr>
                <w:sz w:val="22"/>
                <w:szCs w:val="22"/>
                <w:u w:val="single"/>
              </w:rPr>
            </w:pPr>
            <w:r>
              <w:rPr>
                <w:sz w:val="22"/>
                <w:szCs w:val="22"/>
                <w:u w:val="single"/>
              </w:rPr>
            </w:r>
          </w:p>
          <w:p>
            <w:pPr>
              <w:pStyle w:val="Normal"/>
              <w:keepNext w:val="true"/>
              <w:keepLines/>
              <w:tabs>
                <w:tab w:val="clear" w:pos="720"/>
                <w:tab w:val="right" w:pos="2988" w:leader="none"/>
              </w:tabs>
              <w:spacing w:lineRule="atLeast" w:line="240"/>
              <w:rPr>
                <w:sz w:val="22"/>
                <w:szCs w:val="22"/>
                <w:u w:val="single"/>
              </w:rPr>
            </w:pPr>
            <w:r>
              <w:rPr>
                <w:sz w:val="22"/>
                <w:szCs w:val="22"/>
                <w:u w:val="single"/>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9. </w:t>
      </w:r>
      <w:r>
        <w:rPr>
          <w:sz w:val="22"/>
          <w:szCs w:val="22"/>
          <w:u w:val="single"/>
        </w:rPr>
        <w:t>DEFINED TERMS</w:t>
      </w:r>
      <w:r>
        <w:rPr>
          <w:sz w:val="22"/>
          <w:szCs w:val="22"/>
        </w:rPr>
        <w:t>.  Capitalized terms used herein and not otherwise defined herein shall have the meanings given to such terms in the Master Agreement.</w:t>
        <w:tab/>
        <w:tab/>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2001, but it is effective as of the Effective Date.</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sz w:val="22"/>
          <w:szCs w:val="22"/>
        </w:rPr>
        <w:t>TEMPLE-INLAND INC.</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jc w:val="both"/>
        <w:rPr>
          <w:sz w:val="22"/>
          <w:szCs w:val="22"/>
        </w:rPr>
      </w:pPr>
      <w:r>
        <w:rPr>
          <w:sz w:val="22"/>
          <w:szCs w:val="22"/>
        </w:rPr>
      </w:r>
    </w:p>
    <w:sectPr>
      <w:headerReference w:type="default" r:id="rId14"/>
      <w:headerReference w:type="first" r:id="rId15"/>
      <w:footerReference w:type="default" r:id="rId16"/>
      <w:footerReference w:type="first" r:id="rId17"/>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/mnt/main-storage/datasets/enron-docs/doc/inland_2.doc</w:t>
    </w:r>
    <w:r>
      <w:rPr>
        <w:rStyle w:val="PageNumber"/>
        <w:sz w:val="16"/>
        <w:szCs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/mnt/main-storage/datasets/enron-docs/doc/inland_2.doc</w:t>
    </w:r>
    <w:r>
      <w:rPr>
        <w:sz w:val="16"/>
        <w:szCs w:val="16"/>
      </w:rPr>
      <w:fldChar w:fldCharType="end"/>
    </w:r>
  </w:p>
  <w:p>
    <w:pPr>
      <w:pStyle w:val="Footer"/>
      <w:jc w:val="center"/>
      <w:rPr>
        <w:sz w:val="20"/>
      </w:rPr>
    </w:pPr>
    <w:r>
      <w:rPr>
        <w:sz w:val="20"/>
      </w:rPr>
      <w:t>Annex A</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/mnt/main-storage/datasets/enron-docs/doc/inland_2.doc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Exhibit A</w:t>
    </w:r>
  </w:p>
  <w:p>
    <w:pPr>
      <w:pStyle w:val="Footer"/>
      <w:widowControl/>
      <w:jc w:val="center"/>
      <w:rPr/>
    </w:pPr>
    <w:r>
      <w:rPr/>
      <w:t xml:space="preserve">Page </w:t>
    </w:r>
    <w:r>
      <w:rPr/>
      <w:fldChar w:fldCharType="begin"/>
    </w:r>
    <w:r>
      <w:rPr/>
      <w:instrText xml:space="preserve"> PAGE </w:instrText>
    </w:r>
    <w:r>
      <w:rPr/>
      <w:fldChar w:fldCharType="separate"/>
    </w:r>
    <w:r>
      <w:rPr/>
      <w:t>4</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/mnt/main-storage/datasets/enron-docs/doc/inland_2.doc</w:t>
    </w:r>
    <w:r>
      <w:rPr>
        <w:rStyle w:val="PageNumber"/>
        <w:sz w:val="16"/>
        <w:szCs w:val="16"/>
      </w:rPr>
      <w:fldChar w:fldCharType="end"/>
    </w:r>
  </w:p>
  <w:p>
    <w:pPr>
      <w:pStyle w:val="Footer"/>
      <w:widowControl/>
      <w:jc w:val="center"/>
      <w:rPr>
        <w:sz w:val="20"/>
      </w:rPr>
    </w:pPr>
    <w:r>
      <w:rPr>
        <w:sz w:val="20"/>
      </w:rPr>
      <w:t>Exhibit B</w:t>
    </w:r>
  </w:p>
  <w:p>
    <w:pPr>
      <w:pStyle w:val="Footer"/>
      <w:widowControl/>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sz w:val="18"/>
          <w:szCs w:val="18"/>
        </w:rPr>
        <w:t xml:space="preserve"> </w:t>
      </w:r>
      <w:r>
        <w:rPr>
          <w:sz w:val="18"/>
          <w:szCs w:val="18"/>
        </w:rPr>
        <w:t>Do not insert the “Eligibility” rep for ECC/Canadian or non-US party deals.  Delete, then renumber the paragraphs that follow.  Also, renumber the lead in paragraph, if necessary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ListBullet2">
    <w:name w:val="List Bullet 2"/>
    <w:basedOn w:val="Normal"/>
    <w:pPr>
      <w:ind w:hanging="36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empleinland.com/" TargetMode="External"/><Relationship Id="rId3" Type="http://schemas.openxmlformats.org/officeDocument/2006/relationships/hyperlink" Target="http://www.templeinland.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1.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2001-06-07T11:38:00Z</dcterms:created>
  <dc:creator>mheard</dc:creator>
  <dc:description/>
  <dc:language>en-CA</dc:language>
  <cp:lastModifiedBy>cstclai</cp:lastModifiedBy>
  <cp:lastPrinted>2001-01-29T09:35:00Z</cp:lastPrinted>
  <dcterms:modified xsi:type="dcterms:W3CDTF">2001-06-08T11:48:00Z</dcterms:modified>
  <cp:revision>4</cp:revision>
  <dc:subject/>
  <dc:title>ISDA Multicurrency Agreement</dc:title>
</cp:coreProperties>
</file>