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both"/>
        <w:rPr>
          <w:rFonts w:ascii="Bookman Old Style" w:hAnsi="Bookman Old Style" w:cs="Bookman Old Style"/>
          <w:sz w:val="24"/>
        </w:rPr>
      </w:pPr>
      <w:r>
        <w:rPr>
          <w:rFonts w:cs="Bookman Old Style" w:ascii="Bookman Old Style" w:hAnsi="Bookman Old Style"/>
          <w:sz w:val="24"/>
        </w:rPr>
      </w:r>
    </w:p>
    <w:p>
      <w:pPr>
        <w:pStyle w:val="Normal"/>
        <w:spacing w:lineRule="auto" w:line="360"/>
        <w:jc w:val="both"/>
        <w:rPr/>
      </w:pPr>
      <w:r>
        <w:rPr>
          <w:rFonts w:cs="Bookman Old Style" w:ascii="Bookman Old Style" w:hAnsi="Bookman Old Style"/>
          <w:b/>
          <w:sz w:val="24"/>
          <w:lang w:val="es-AR"/>
        </w:rPr>
        <w:t xml:space="preserve">Los Acuerdos entre el Poder Ejecutivo Nacional, el </w:t>
      </w:r>
      <w:r>
        <w:rPr>
          <w:rFonts w:cs="Bookman Old Style" w:ascii="Bookman Old Style" w:hAnsi="Bookman Old Style"/>
          <w:b/>
          <w:smallCaps/>
          <w:sz w:val="24"/>
          <w:lang w:val="es-AR"/>
        </w:rPr>
        <w:t>enargas</w:t>
      </w:r>
      <w:r>
        <w:rPr>
          <w:rFonts w:cs="Bookman Old Style" w:ascii="Bookman Old Style" w:hAnsi="Bookman Old Style"/>
          <w:b/>
          <w:sz w:val="24"/>
          <w:lang w:val="es-AR"/>
        </w:rPr>
        <w:t xml:space="preserve">  y las licenciatarias de transporte y distribución de gas. </w:t>
      </w:r>
    </w:p>
    <w:p>
      <w:pPr>
        <w:pStyle w:val="Normal"/>
        <w:spacing w:lineRule="auto" w:line="360"/>
        <w:jc w:val="both"/>
        <w:rPr>
          <w:rFonts w:ascii="Bookman Old Style" w:hAnsi="Bookman Old Style" w:cs="Bookman Old Style"/>
          <w:b/>
          <w:sz w:val="24"/>
          <w:lang w:val="es-AR"/>
        </w:rPr>
      </w:pPr>
      <w:r>
        <w:rPr>
          <w:rFonts w:cs="Bookman Old Style" w:ascii="Bookman Old Style" w:hAnsi="Bookman Old Style"/>
          <w:b/>
          <w:sz w:val="24"/>
          <w:lang w:val="es-AR"/>
        </w:rPr>
      </w:r>
    </w:p>
    <w:p>
      <w:pPr>
        <w:pStyle w:val="Normal"/>
        <w:spacing w:lineRule="auto" w:line="360"/>
        <w:jc w:val="both"/>
        <w:rPr>
          <w:rFonts w:ascii="Bookman Old Style" w:hAnsi="Bookman Old Style" w:cs="Bookman Old Style"/>
          <w:b/>
          <w:sz w:val="24"/>
          <w:lang w:val="es-AR"/>
        </w:rPr>
      </w:pPr>
      <w:r>
        <w:rPr>
          <w:rFonts w:cs="Bookman Old Style" w:ascii="Bookman Old Style" w:hAnsi="Bookman Old Style"/>
          <w:b/>
          <w:sz w:val="24"/>
          <w:lang w:val="es-AR"/>
        </w:rPr>
        <w:t>Acuerdo del 6.1.00.</w:t>
      </w:r>
    </w:p>
    <w:p>
      <w:pPr>
        <w:pStyle w:val="Normal"/>
        <w:spacing w:lineRule="auto" w:line="360"/>
        <w:jc w:val="both"/>
        <w:rPr>
          <w:rFonts w:ascii="Bookman Old Style" w:hAnsi="Bookman Old Style" w:cs="Bookman Old Style"/>
          <w:b/>
          <w:sz w:val="24"/>
          <w:lang w:val="es-AR"/>
        </w:rPr>
      </w:pPr>
      <w:r>
        <w:rPr>
          <w:rFonts w:cs="Bookman Old Style" w:ascii="Bookman Old Style" w:hAnsi="Bookman Old Style"/>
          <w:b/>
          <w:sz w:val="24"/>
          <w:lang w:val="es-AR"/>
        </w:rPr>
      </w:r>
    </w:p>
    <w:p>
      <w:pPr>
        <w:pStyle w:val="Normal"/>
        <w:spacing w:lineRule="auto" w:line="360"/>
        <w:jc w:val="both"/>
        <w:rPr>
          <w:rFonts w:ascii="Bookman Old Style" w:hAnsi="Bookman Old Style" w:cs="Bookman Old Style"/>
          <w:sz w:val="24"/>
          <w:lang w:val="es-AR"/>
        </w:rPr>
      </w:pPr>
      <w:r>
        <w:rPr>
          <w:rFonts w:cs="Bookman Old Style" w:ascii="Bookman Old Style" w:hAnsi="Bookman Old Style"/>
          <w:sz w:val="24"/>
          <w:lang w:val="es-AR"/>
        </w:rPr>
        <w:t xml:space="preserve">A finales de 1999, las recientemente asumidas autoridades nacionales solicitaron a las empresas licenciatarias, como gesto de buena voluntad hacia la administración que se iniciaba, diferir parcialmente el ajuste por PPI establecido en el Marco Regulatorio del Gas. </w:t>
      </w:r>
    </w:p>
    <w:p>
      <w:pPr>
        <w:pStyle w:val="Normal"/>
        <w:spacing w:lineRule="auto" w:line="360"/>
        <w:jc w:val="both"/>
        <w:rPr>
          <w:rFonts w:ascii="Bookman Old Style" w:hAnsi="Bookman Old Style" w:cs="Bookman Old Style"/>
          <w:sz w:val="24"/>
          <w:lang w:val="es-AR"/>
        </w:rPr>
      </w:pPr>
      <w:r>
        <w:rPr>
          <w:rFonts w:cs="Bookman Old Style" w:ascii="Bookman Old Style" w:hAnsi="Bookman Old Style"/>
          <w:sz w:val="24"/>
          <w:lang w:val="es-AR"/>
        </w:rPr>
      </w:r>
    </w:p>
    <w:p>
      <w:pPr>
        <w:pStyle w:val="Normal"/>
        <w:spacing w:lineRule="auto" w:line="360"/>
        <w:jc w:val="both"/>
        <w:rPr/>
      </w:pPr>
      <w:r>
        <w:rPr>
          <w:rFonts w:cs="Bookman Old Style" w:ascii="Bookman Old Style" w:hAnsi="Bookman Old Style"/>
          <w:sz w:val="24"/>
          <w:lang w:val="es-AR"/>
        </w:rPr>
        <w:t xml:space="preserve">A tal efecto, se celebró un primer acuerdo el 6.1.00 entre el </w:t>
      </w:r>
      <w:r>
        <w:rPr>
          <w:rFonts w:cs="Bookman Old Style" w:ascii="Bookman Old Style" w:hAnsi="Bookman Old Style"/>
          <w:smallCaps/>
          <w:sz w:val="24"/>
          <w:lang w:val="es-AR"/>
        </w:rPr>
        <w:t>enargas</w:t>
      </w:r>
      <w:r>
        <w:rPr>
          <w:rFonts w:cs="Bookman Old Style" w:ascii="Bookman Old Style" w:hAnsi="Bookman Old Style"/>
          <w:sz w:val="24"/>
          <w:lang w:val="es-AR"/>
        </w:rPr>
        <w:t xml:space="preserve"> y las empresas licenciatarias, consistente en postergar hasta julio de 2000, la variación del PPI que correspondía aplicar a partir del 1.1.00 (incremento del 3,78% sobre tarifas de transporte y distribución).</w:t>
      </w:r>
    </w:p>
    <w:p>
      <w:pPr>
        <w:pStyle w:val="Normal"/>
        <w:spacing w:lineRule="auto" w:line="360"/>
        <w:jc w:val="both"/>
        <w:rPr>
          <w:rFonts w:ascii="Bookman Old Style" w:hAnsi="Bookman Old Style" w:cs="Bookman Old Style"/>
          <w:sz w:val="24"/>
          <w:lang w:val="es-AR"/>
        </w:rPr>
      </w:pPr>
      <w:r>
        <w:rPr>
          <w:rFonts w:cs="Bookman Old Style" w:ascii="Bookman Old Style" w:hAnsi="Bookman Old Style"/>
          <w:sz w:val="24"/>
          <w:lang w:val="es-AR"/>
        </w:rPr>
      </w:r>
    </w:p>
    <w:p>
      <w:pPr>
        <w:pStyle w:val="Normal"/>
        <w:spacing w:lineRule="auto" w:line="360"/>
        <w:jc w:val="both"/>
        <w:rPr>
          <w:rFonts w:ascii="Bookman Old Style" w:hAnsi="Bookman Old Style" w:cs="Bookman Old Style"/>
          <w:b/>
          <w:sz w:val="24"/>
          <w:lang w:val="es-AR"/>
        </w:rPr>
      </w:pPr>
      <w:r>
        <w:rPr>
          <w:rFonts w:cs="Bookman Old Style" w:ascii="Bookman Old Style" w:hAnsi="Bookman Old Style"/>
          <w:b/>
          <w:sz w:val="24"/>
          <w:lang w:val="es-AR"/>
        </w:rPr>
        <w:t>Acuerdo del 17.7.00.</w:t>
      </w:r>
    </w:p>
    <w:p>
      <w:pPr>
        <w:pStyle w:val="4TXT"/>
        <w:tabs>
          <w:tab w:val="left" w:pos="-3544" w:leader="none"/>
          <w:tab w:val="left" w:pos="-240" w:leader="none"/>
          <w:tab w:val="left" w:pos="0" w:leader="none"/>
          <w:tab w:val="left" w:pos="3544" w:leader="none"/>
        </w:tabs>
        <w:spacing w:lineRule="auto" w:line="360" w:before="0" w:after="120"/>
        <w:rPr>
          <w:rFonts w:ascii="Bookman Old Style" w:hAnsi="Bookman Old Style" w:cs="Bookman Old Style"/>
          <w:b/>
          <w:sz w:val="24"/>
          <w:lang w:val="es-AR"/>
        </w:rPr>
      </w:pPr>
      <w:r>
        <w:rPr>
          <w:rFonts w:cs="Bookman Old Style" w:ascii="Bookman Old Style" w:hAnsi="Bookman Old Style"/>
          <w:b/>
          <w:sz w:val="24"/>
          <w:lang w:val="es-AR"/>
        </w:rPr>
      </w:r>
    </w:p>
    <w:p>
      <w:pPr>
        <w:pStyle w:val="4TXT"/>
        <w:tabs>
          <w:tab w:val="left" w:pos="-3544" w:leader="none"/>
          <w:tab w:val="left" w:pos="-240" w:leader="none"/>
          <w:tab w:val="left" w:pos="0" w:leader="none"/>
          <w:tab w:val="left" w:pos="3544" w:leader="none"/>
        </w:tabs>
        <w:spacing w:lineRule="auto" w:line="360" w:before="0" w:after="120"/>
        <w:rPr/>
      </w:pPr>
      <w:r>
        <w:rPr>
          <w:rFonts w:cs="Bookman Old Style" w:ascii="Bookman Old Style" w:hAnsi="Bookman Old Style"/>
          <w:sz w:val="24"/>
        </w:rPr>
        <w:t xml:space="preserve">Un nuevo acuerdo fue celebrado siete meses más tarde entre el Estado Nacional, el </w:t>
      </w:r>
      <w:r>
        <w:rPr>
          <w:rFonts w:cs="Bookman Old Style" w:ascii="Bookman Old Style" w:hAnsi="Bookman Old Style"/>
          <w:smallCaps/>
          <w:sz w:val="24"/>
        </w:rPr>
        <w:t>enargas</w:t>
      </w:r>
      <w:r>
        <w:rPr>
          <w:rFonts w:cs="Bookman Old Style" w:ascii="Bookman Old Style" w:hAnsi="Bookman Old Style"/>
          <w:sz w:val="24"/>
        </w:rPr>
        <w:t xml:space="preserve"> y las once empresas licenciatarias. Este segundo Acuerdo, celebrado el 17.7.00, tuvo por objeto: (a) incorporar a los cuadros tarifarios con vigencia a partir de julio de 2000, la variación del P.P.I postergada el 1° de enero de 2000 y (b) diferir la percepción de los ajustes que debían ser percibidos desde el 1° de julio de 2000 hasta el 30 de junio de 2002. El diferimiento quedó pautado según la metodología prevista en el Anexo II del acta suscripta.</w:t>
      </w:r>
    </w:p>
    <w:p>
      <w:pPr>
        <w:pStyle w:val="Normal"/>
        <w:spacing w:lineRule="auto" w:line="360"/>
        <w:jc w:val="both"/>
        <w:rPr>
          <w:rFonts w:ascii="Bookman Old Style" w:hAnsi="Bookman Old Style" w:cs="Bookman Old Style"/>
          <w:sz w:val="24"/>
          <w:lang w:val="es-AR"/>
        </w:rPr>
      </w:pPr>
      <w:r>
        <w:rPr>
          <w:rFonts w:cs="Bookman Old Style" w:ascii="Bookman Old Style" w:hAnsi="Bookman Old Style"/>
          <w:sz w:val="24"/>
          <w:lang w:val="es-AR"/>
        </w:rPr>
      </w:r>
    </w:p>
    <w:p>
      <w:pPr>
        <w:pStyle w:val="Normal"/>
        <w:spacing w:lineRule="auto" w:line="360"/>
        <w:jc w:val="both"/>
        <w:rPr>
          <w:rFonts w:ascii="Bookman Old Style" w:hAnsi="Bookman Old Style" w:cs="Bookman Old Style"/>
          <w:b/>
          <w:sz w:val="24"/>
          <w:lang w:val="es-AR"/>
        </w:rPr>
      </w:pPr>
      <w:r>
        <w:rPr>
          <w:rFonts w:cs="Bookman Old Style" w:ascii="Bookman Old Style" w:hAnsi="Bookman Old Style"/>
          <w:b/>
          <w:sz w:val="24"/>
          <w:lang w:val="es-AR"/>
        </w:rPr>
        <w:t>El Decreto 669/00.</w:t>
      </w:r>
    </w:p>
    <w:p>
      <w:pPr>
        <w:pStyle w:val="Normal"/>
        <w:spacing w:lineRule="auto" w:line="360"/>
        <w:jc w:val="both"/>
        <w:rPr>
          <w:rFonts w:ascii="Bookman Old Style" w:hAnsi="Bookman Old Style" w:cs="Bookman Old Style"/>
          <w:b/>
          <w:sz w:val="24"/>
          <w:lang w:val="es-AR"/>
        </w:rPr>
      </w:pPr>
      <w:r>
        <w:rPr>
          <w:rFonts w:cs="Bookman Old Style" w:ascii="Bookman Old Style" w:hAnsi="Bookman Old Style"/>
          <w:b/>
          <w:sz w:val="24"/>
          <w:lang w:val="es-AR"/>
        </w:rPr>
      </w:r>
    </w:p>
    <w:p>
      <w:pPr>
        <w:pStyle w:val="Normal"/>
        <w:spacing w:lineRule="auto" w:line="360"/>
        <w:jc w:val="both"/>
        <w:rPr>
          <w:rFonts w:ascii="Bookman Old Style" w:hAnsi="Bookman Old Style" w:cs="Bookman Old Style"/>
          <w:sz w:val="24"/>
          <w:lang w:val="es-AR"/>
        </w:rPr>
      </w:pPr>
      <w:r>
        <w:rPr>
          <w:rFonts w:cs="Bookman Old Style" w:ascii="Bookman Old Style" w:hAnsi="Bookman Old Style"/>
          <w:sz w:val="24"/>
          <w:lang w:val="es-AR"/>
        </w:rPr>
        <w:t xml:space="preserve">El PEN ratificó este segundo acuerdo por medio del Decreto 669/00 (B.O. 8.8.00). </w:t>
      </w:r>
    </w:p>
    <w:p>
      <w:pPr>
        <w:pStyle w:val="FootnoteText"/>
        <w:spacing w:lineRule="auto" w:line="360"/>
        <w:jc w:val="both"/>
        <w:rPr>
          <w:rFonts w:ascii="Bookman Old Style" w:hAnsi="Bookman Old Style" w:cs="Bookman Old Style"/>
          <w:sz w:val="24"/>
          <w:lang w:val="es-AR"/>
        </w:rPr>
      </w:pPr>
      <w:r>
        <w:rPr>
          <w:rFonts w:cs="Bookman Old Style" w:ascii="Bookman Old Style" w:hAnsi="Bookman Old Style"/>
          <w:sz w:val="24"/>
          <w:lang w:val="es-AR"/>
        </w:rPr>
      </w:r>
    </w:p>
    <w:p>
      <w:pPr>
        <w:pStyle w:val="Normal"/>
        <w:spacing w:lineRule="auto" w:line="360"/>
        <w:jc w:val="both"/>
        <w:rPr>
          <w:rFonts w:ascii="Bookman Old Style" w:hAnsi="Bookman Old Style" w:cs="Bookman Old Style"/>
          <w:b/>
          <w:sz w:val="24"/>
          <w:lang w:val="es-AR"/>
        </w:rPr>
      </w:pPr>
      <w:r>
        <w:rPr>
          <w:rFonts w:cs="Bookman Old Style" w:ascii="Bookman Old Style" w:hAnsi="Bookman Old Style"/>
          <w:b/>
          <w:sz w:val="24"/>
          <w:lang w:val="es-AR"/>
        </w:rPr>
        <w:t>La demanda Judicial del Defensor del Pueblo de la Nación</w:t>
      </w:r>
    </w:p>
    <w:p>
      <w:pPr>
        <w:pStyle w:val="FootnoteText"/>
        <w:spacing w:lineRule="auto" w:line="360"/>
        <w:jc w:val="both"/>
        <w:rPr>
          <w:rFonts w:ascii="Bookman Old Style" w:hAnsi="Bookman Old Style" w:cs="Bookman Old Style"/>
          <w:b/>
          <w:sz w:val="24"/>
          <w:lang w:val="es-AR"/>
        </w:rPr>
      </w:pPr>
      <w:r>
        <w:rPr>
          <w:rFonts w:cs="Bookman Old Style" w:ascii="Bookman Old Style" w:hAnsi="Bookman Old Style"/>
          <w:b/>
          <w:sz w:val="24"/>
          <w:lang w:val="es-AR"/>
        </w:rPr>
      </w:r>
    </w:p>
    <w:p>
      <w:pPr>
        <w:pStyle w:val="Textodebloque"/>
        <w:spacing w:lineRule="auto" w:line="360"/>
        <w:ind w:start="0" w:end="0"/>
        <w:jc w:val="both"/>
        <w:rPr/>
      </w:pPr>
      <w:r>
        <w:rPr>
          <w:rFonts w:cs="Bookman Old Style" w:ascii="Bookman Old Style" w:hAnsi="Bookman Old Style"/>
          <w:i w:val="false"/>
          <w:sz w:val="24"/>
        </w:rPr>
        <w:t xml:space="preserve">El Defensor del Pueblo de la Nación inicia demanda </w:t>
      </w:r>
      <w:r>
        <w:rPr>
          <w:rFonts w:cs="Bookman Old Style" w:ascii="Bookman Old Style" w:hAnsi="Bookman Old Style"/>
          <w:i w:val="false"/>
          <w:sz w:val="24"/>
          <w:lang w:val="es-ES_tradnl"/>
        </w:rPr>
        <w:t xml:space="preserve">ante el </w:t>
      </w:r>
      <w:r>
        <w:rPr>
          <w:i w:val="false"/>
          <w:sz w:val="24"/>
        </w:rPr>
        <w:t xml:space="preserve">Juzgado Nacional en lo Contencioso Administrativo Federal n° 8” </w:t>
      </w:r>
      <w:r>
        <w:rPr>
          <w:rFonts w:cs="Bookman Old Style" w:ascii="Bookman Old Style" w:hAnsi="Bookman Old Style"/>
          <w:i w:val="false"/>
          <w:sz w:val="24"/>
        </w:rPr>
        <w:t>(</w:t>
      </w:r>
      <w:r>
        <w:rPr>
          <w:rFonts w:cs="Bookman Old Style" w:ascii="Bookman Old Style" w:hAnsi="Bookman Old Style"/>
          <w:i w:val="false"/>
          <w:sz w:val="24"/>
          <w:lang w:val="es-ES_tradnl"/>
        </w:rPr>
        <w:t>“Defensor del Pueblo de la Nación c. Estado Nacional (PEN) y otro s. Proceso de Conocimiento</w:t>
      </w:r>
      <w:r>
        <w:rPr>
          <w:rFonts w:cs="Bookman Old Style" w:ascii="Bookman Old Style" w:hAnsi="Bookman Old Style"/>
          <w:sz w:val="24"/>
          <w:lang w:val="es-ES_tradnl"/>
        </w:rPr>
        <w:t xml:space="preserve">” </w:t>
      </w:r>
      <w:r>
        <w:rPr>
          <w:rFonts w:cs="Bookman Old Style" w:ascii="Bookman Old Style" w:hAnsi="Bookman Old Style"/>
          <w:i w:val="false"/>
          <w:sz w:val="24"/>
          <w:lang w:val="es-ES_tradnl"/>
        </w:rPr>
        <w:t xml:space="preserve">) </w:t>
      </w:r>
      <w:r>
        <w:rPr>
          <w:rFonts w:cs="Bookman Old Style" w:ascii="Bookman Old Style" w:hAnsi="Bookman Old Style"/>
          <w:i w:val="false"/>
          <w:sz w:val="24"/>
        </w:rPr>
        <w:t>con el objeto se decida que resulta de aplicación la Ley de Convertibilidad para la elaboración del régimen tarifario del gas y que, por lo tanto, no se encuentra permitido ningún esquema indexatorio o cualquier otro que permita el incremento de las tarifas, máxime si los datos para ese cálculo provienen de países extranjeros.</w:t>
      </w:r>
    </w:p>
    <w:p>
      <w:pPr>
        <w:pStyle w:val="Normal"/>
        <w:spacing w:lineRule="auto" w:line="360"/>
        <w:jc w:val="both"/>
        <w:rPr>
          <w:rFonts w:ascii="Bookman Old Style" w:hAnsi="Bookman Old Style" w:cs="Bookman Old Style"/>
          <w:i/>
          <w:i/>
          <w:sz w:val="24"/>
          <w:lang w:val="es-AR"/>
        </w:rPr>
      </w:pPr>
      <w:r>
        <w:rPr>
          <w:rFonts w:cs="Bookman Old Style" w:ascii="Bookman Old Style" w:hAnsi="Bookman Old Style"/>
          <w:i/>
          <w:sz w:val="24"/>
          <w:lang w:val="es-AR"/>
        </w:rPr>
      </w:r>
    </w:p>
    <w:p>
      <w:pPr>
        <w:pStyle w:val="Normal"/>
        <w:spacing w:lineRule="auto" w:line="360"/>
        <w:jc w:val="both"/>
        <w:rPr>
          <w:rFonts w:ascii="Bookman Old Style" w:hAnsi="Bookman Old Style" w:cs="Bookman Old Style"/>
          <w:sz w:val="24"/>
          <w:lang w:val="es-AR"/>
        </w:rPr>
      </w:pPr>
      <w:r>
        <w:rPr>
          <w:rFonts w:cs="Bookman Old Style" w:ascii="Bookman Old Style" w:hAnsi="Bookman Old Style"/>
          <w:sz w:val="24"/>
          <w:lang w:val="es-AR"/>
        </w:rPr>
        <w:t>La demanda fue contestada por el Estado Nacional y el Enargas solicitando el rechazo de la misma.</w:t>
      </w:r>
    </w:p>
    <w:p>
      <w:pPr>
        <w:pStyle w:val="Normal"/>
        <w:spacing w:lineRule="auto" w:line="360"/>
        <w:jc w:val="both"/>
        <w:rPr>
          <w:rFonts w:ascii="Bookman Old Style" w:hAnsi="Bookman Old Style" w:cs="Bookman Old Style"/>
          <w:sz w:val="24"/>
          <w:lang w:val="es-AR"/>
        </w:rPr>
      </w:pPr>
      <w:r>
        <w:rPr>
          <w:rFonts w:cs="Bookman Old Style" w:ascii="Bookman Old Style" w:hAnsi="Bookman Old Style"/>
          <w:sz w:val="24"/>
          <w:lang w:val="es-AR"/>
        </w:rPr>
      </w:r>
    </w:p>
    <w:p>
      <w:pPr>
        <w:pStyle w:val="BodyText"/>
        <w:rPr/>
      </w:pPr>
      <w:r>
        <w:rPr/>
        <w:t>El 18.8.2000 la Justicia dicta una medida cautelar por la cual suspende la aplicación del Decreto 669/00. Esta decisión fue apelada por el Estado Nacional, por el Enargas y por las empresas licenciatarias de transporte y distribución, encontrándose pendiente de resolución por la Cámara de Apelaciones.</w:t>
      </w:r>
    </w:p>
    <w:p>
      <w:pPr>
        <w:pStyle w:val="Normal"/>
        <w:spacing w:lineRule="auto" w:line="360"/>
        <w:jc w:val="both"/>
        <w:rPr>
          <w:rFonts w:ascii="Bookman Old Style" w:hAnsi="Bookman Old Style" w:cs="Bookman Old Style"/>
          <w:sz w:val="24"/>
          <w:lang w:val="es-AR"/>
        </w:rPr>
      </w:pPr>
      <w:r>
        <w:rPr>
          <w:rFonts w:cs="Bookman Old Style" w:ascii="Bookman Old Style" w:hAnsi="Bookman Old Style"/>
          <w:sz w:val="24"/>
          <w:lang w:val="es-AR"/>
        </w:rPr>
      </w:r>
    </w:p>
    <w:p>
      <w:pPr>
        <w:pStyle w:val="Textoindependiente3"/>
        <w:spacing w:lineRule="auto" w:line="360" w:before="0" w:after="120"/>
        <w:rPr/>
      </w:pPr>
      <w:r>
        <w:rPr>
          <w:rFonts w:cs="Bookman Old Style" w:ascii="Bookman Old Style" w:hAnsi="Bookman Old Style"/>
          <w:sz w:val="24"/>
          <w:lang w:val="es-AR"/>
        </w:rPr>
        <w:t>Con</w:t>
      </w:r>
      <w:r>
        <w:rPr>
          <w:rFonts w:cs="Bookman Old Style" w:ascii="Bookman Old Style" w:hAnsi="Bookman Old Style"/>
          <w:sz w:val="24"/>
        </w:rPr>
        <w:t xml:space="preserve"> fecha 30 de Agosto de 2000 el Enargas ordenó suspender el cuadro tarifario aprobado en consecuencia del Decreto Nº 669/00 y aplicar el cuadro vigente al 1 de Mayo de 2000.</w:t>
      </w:r>
    </w:p>
    <w:p>
      <w:pPr>
        <w:pStyle w:val="Heading1"/>
        <w:ind w:hanging="0" w:start="0"/>
        <w:rPr>
          <w:rFonts w:ascii="Bookman Old Style" w:hAnsi="Bookman Old Style" w:cs="Bookman Old Style"/>
          <w:sz w:val="24"/>
        </w:rPr>
      </w:pPr>
      <w:r>
        <w:rPr>
          <w:rFonts w:cs="Bookman Old Style"/>
          <w:sz w:val="24"/>
        </w:rPr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Fundamentos del derecho al PPI y la improcedencia del reclamo</w:t>
      </w:r>
    </w:p>
    <w:p>
      <w:pPr>
        <w:pStyle w:val="FootnoteText"/>
        <w:spacing w:lineRule="auto" w:line="360"/>
        <w:jc w:val="both"/>
        <w:rPr>
          <w:rFonts w:ascii="Bookman Old Style" w:hAnsi="Bookman Old Style" w:cs="Bookman Old Style"/>
          <w:sz w:val="24"/>
          <w:lang w:val="es-AR"/>
        </w:rPr>
      </w:pPr>
      <w:r>
        <w:rPr>
          <w:rFonts w:cs="Bookman Old Style" w:ascii="Bookman Old Style" w:hAnsi="Bookman Old Style"/>
          <w:sz w:val="24"/>
          <w:lang w:val="es-AR"/>
        </w:rPr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rFonts w:ascii="Bookman Old Style" w:hAnsi="Bookman Old Style" w:cs="Bookman Old Style"/>
          <w:sz w:val="24"/>
          <w:lang w:val="es-AR"/>
        </w:rPr>
      </w:pPr>
      <w:r>
        <w:rPr>
          <w:rFonts w:cs="Bookman Old Style" w:ascii="Bookman Old Style" w:hAnsi="Bookman Old Style"/>
          <w:sz w:val="24"/>
          <w:lang w:val="es-AR"/>
        </w:rPr>
        <w:t>Las licenciatarias tienen un contrato celebrado hace ocho años con el Estado Nacional.</w:t>
      </w:r>
    </w:p>
    <w:p>
      <w:pPr>
        <w:pStyle w:val="Normal"/>
        <w:spacing w:lineRule="auto" w:line="360"/>
        <w:jc w:val="both"/>
        <w:rPr>
          <w:rFonts w:ascii="Bookman Old Style" w:hAnsi="Bookman Old Style" w:cs="Bookman Old Style"/>
          <w:sz w:val="24"/>
          <w:lang w:val="es-AR"/>
        </w:rPr>
      </w:pPr>
      <w:r>
        <w:rPr>
          <w:rFonts w:cs="Bookman Old Style" w:ascii="Bookman Old Style" w:hAnsi="Bookman Old Style"/>
          <w:sz w:val="24"/>
          <w:lang w:val="es-AR"/>
        </w:rPr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rFonts w:ascii="Bookman Old Style" w:hAnsi="Bookman Old Style" w:cs="Bookman Old Style"/>
          <w:sz w:val="24"/>
          <w:lang w:val="es-AR"/>
        </w:rPr>
      </w:pPr>
      <w:r>
        <w:rPr>
          <w:rFonts w:cs="Bookman Old Style" w:ascii="Bookman Old Style" w:hAnsi="Bookman Old Style"/>
          <w:sz w:val="24"/>
          <w:lang w:val="es-AR"/>
        </w:rPr>
        <w:t>Ese contrato fue el resultado de un concurso público internacional, obtenido conforme a las reglas de la libre competencia.</w:t>
      </w:r>
    </w:p>
    <w:p>
      <w:pPr>
        <w:pStyle w:val="Normal"/>
        <w:spacing w:lineRule="auto" w:line="360"/>
        <w:jc w:val="both"/>
        <w:rPr>
          <w:rFonts w:ascii="Bookman Old Style" w:hAnsi="Bookman Old Style" w:cs="Bookman Old Style"/>
          <w:sz w:val="24"/>
          <w:lang w:val="es-AR"/>
        </w:rPr>
      </w:pPr>
      <w:r>
        <w:rPr>
          <w:rFonts w:cs="Bookman Old Style" w:ascii="Bookman Old Style" w:hAnsi="Bookman Old Style"/>
          <w:sz w:val="24"/>
          <w:lang w:val="es-AR"/>
        </w:rPr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rFonts w:ascii="Bookman Old Style" w:hAnsi="Bookman Old Style" w:cs="Bookman Old Style"/>
          <w:sz w:val="24"/>
          <w:lang w:val="es-AR"/>
        </w:rPr>
      </w:pPr>
      <w:r>
        <w:rPr>
          <w:rFonts w:cs="Bookman Old Style" w:ascii="Bookman Old Style" w:hAnsi="Bookman Old Style"/>
          <w:sz w:val="24"/>
          <w:lang w:val="es-AR"/>
        </w:rPr>
        <w:t xml:space="preserve">Una ley emanada del Congreso de la Nación (24.074), estableció con anterioridad al llamado a concurso, que los ajustes en las tarifas se harían por indicadores internacionales. </w:t>
      </w:r>
    </w:p>
    <w:p>
      <w:pPr>
        <w:pStyle w:val="Normal"/>
        <w:spacing w:lineRule="auto" w:line="360"/>
        <w:jc w:val="both"/>
        <w:rPr>
          <w:rFonts w:ascii="Bookman Old Style" w:hAnsi="Bookman Old Style" w:cs="Bookman Old Style"/>
          <w:sz w:val="24"/>
          <w:lang w:val="es-AR"/>
        </w:rPr>
      </w:pPr>
      <w:r>
        <w:rPr>
          <w:rFonts w:cs="Bookman Old Style" w:ascii="Bookman Old Style" w:hAnsi="Bookman Old Style"/>
          <w:sz w:val="24"/>
          <w:lang w:val="es-AR"/>
        </w:rPr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rFonts w:ascii="Bookman Old Style" w:hAnsi="Bookman Old Style" w:cs="Bookman Old Style"/>
          <w:sz w:val="24"/>
          <w:lang w:val="es-AR"/>
        </w:rPr>
      </w:pPr>
      <w:r>
        <w:rPr>
          <w:rFonts w:cs="Bookman Old Style" w:ascii="Bookman Old Style" w:hAnsi="Bookman Old Style"/>
          <w:sz w:val="24"/>
          <w:lang w:val="es-AR"/>
        </w:rPr>
        <w:t xml:space="preserve">Esta ley fue dictada con posterioridad a la Ley de Convertibilidad. </w:t>
      </w:r>
    </w:p>
    <w:p>
      <w:pPr>
        <w:pStyle w:val="Normal"/>
        <w:spacing w:lineRule="auto" w:line="360"/>
        <w:jc w:val="both"/>
        <w:rPr>
          <w:rFonts w:ascii="Bookman Old Style" w:hAnsi="Bookman Old Style" w:cs="Bookman Old Style"/>
          <w:sz w:val="24"/>
          <w:lang w:val="es-AR"/>
        </w:rPr>
      </w:pPr>
      <w:r>
        <w:rPr>
          <w:rFonts w:cs="Bookman Old Style" w:ascii="Bookman Old Style" w:hAnsi="Bookman Old Style"/>
          <w:sz w:val="24"/>
          <w:lang w:val="es-AR"/>
        </w:rPr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rFonts w:ascii="Bookman Old Style" w:hAnsi="Bookman Old Style" w:cs="Bookman Old Style"/>
          <w:sz w:val="24"/>
          <w:lang w:val="es-AR"/>
        </w:rPr>
      </w:pPr>
      <w:r>
        <w:rPr>
          <w:rFonts w:cs="Bookman Old Style" w:ascii="Bookman Old Style" w:hAnsi="Bookman Old Style"/>
          <w:sz w:val="24"/>
          <w:lang w:val="es-AR"/>
        </w:rPr>
        <w:t>Las cláusulas que están en disputa relativas al ajuste por PPI, fueron parte original del contrato aprobado por Decreto del Poder Ejecutivo.</w:t>
      </w:r>
    </w:p>
    <w:p>
      <w:pPr>
        <w:pStyle w:val="Normal"/>
        <w:spacing w:lineRule="auto" w:line="360"/>
        <w:jc w:val="both"/>
        <w:rPr>
          <w:rFonts w:ascii="Bookman Old Style" w:hAnsi="Bookman Old Style" w:cs="Bookman Old Style"/>
          <w:sz w:val="24"/>
          <w:lang w:val="es-AR"/>
        </w:rPr>
      </w:pPr>
      <w:r>
        <w:rPr>
          <w:rFonts w:cs="Bookman Old Style" w:ascii="Bookman Old Style" w:hAnsi="Bookman Old Style"/>
          <w:sz w:val="24"/>
          <w:lang w:val="es-AR"/>
        </w:rPr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rFonts w:ascii="Bookman Old Style" w:hAnsi="Bookman Old Style" w:cs="Bookman Old Style"/>
          <w:sz w:val="24"/>
          <w:lang w:val="es-AR"/>
        </w:rPr>
      </w:pPr>
      <w:r>
        <w:rPr>
          <w:rFonts w:cs="Bookman Old Style" w:ascii="Bookman Old Style" w:hAnsi="Bookman Old Style"/>
          <w:sz w:val="24"/>
          <w:lang w:val="es-AR"/>
        </w:rPr>
        <w:t xml:space="preserve">El cumplimiento y ejecución de las obligaciones a cargo de las licenciatarias han estado supervisados en forma permanente por el </w:t>
      </w:r>
      <w:r>
        <w:rPr>
          <w:rFonts w:cs="Bookman Old Style" w:ascii="Bookman Old Style" w:hAnsi="Bookman Old Style"/>
          <w:smallCaps/>
          <w:sz w:val="24"/>
          <w:lang w:val="es-AR"/>
        </w:rPr>
        <w:t>enargas</w:t>
      </w:r>
      <w:r>
        <w:rPr>
          <w:rFonts w:cs="Bookman Old Style" w:ascii="Bookman Old Style" w:hAnsi="Bookman Old Style"/>
          <w:sz w:val="24"/>
          <w:lang w:val="es-AR"/>
        </w:rPr>
        <w:t>.</w:t>
      </w:r>
    </w:p>
    <w:p>
      <w:pPr>
        <w:pStyle w:val="Normal"/>
        <w:spacing w:lineRule="auto" w:line="360"/>
        <w:jc w:val="both"/>
        <w:rPr>
          <w:rFonts w:ascii="Bookman Old Style" w:hAnsi="Bookman Old Style" w:cs="Bookman Old Style"/>
          <w:sz w:val="24"/>
          <w:lang w:val="es-AR"/>
        </w:rPr>
      </w:pPr>
      <w:r>
        <w:rPr>
          <w:rFonts w:cs="Bookman Old Style" w:ascii="Bookman Old Style" w:hAnsi="Bookman Old Style"/>
          <w:sz w:val="24"/>
          <w:lang w:val="es-AR"/>
        </w:rPr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rFonts w:ascii="Bookman Old Style" w:hAnsi="Bookman Old Style" w:cs="Bookman Old Style"/>
          <w:sz w:val="24"/>
          <w:lang w:val="es-AR"/>
        </w:rPr>
      </w:pPr>
      <w:r>
        <w:rPr>
          <w:rFonts w:cs="Bookman Old Style" w:ascii="Bookman Old Style" w:hAnsi="Bookman Old Style"/>
          <w:sz w:val="24"/>
          <w:lang w:val="es-AR"/>
        </w:rPr>
        <w:t>Todos los ajustes tarifarios se han llevado a cabo mediante el sistema establecido en el Marco Regulatorio del Gas.</w:t>
      </w:r>
    </w:p>
    <w:p>
      <w:pPr>
        <w:pStyle w:val="Normal"/>
        <w:spacing w:lineRule="auto" w:line="360"/>
        <w:jc w:val="both"/>
        <w:rPr>
          <w:rFonts w:ascii="Bookman Old Style" w:hAnsi="Bookman Old Style" w:cs="Bookman Old Style"/>
          <w:sz w:val="24"/>
          <w:lang w:val="es-AR"/>
        </w:rPr>
      </w:pPr>
      <w:r>
        <w:rPr>
          <w:rFonts w:cs="Bookman Old Style" w:ascii="Bookman Old Style" w:hAnsi="Bookman Old Style"/>
          <w:sz w:val="24"/>
          <w:lang w:val="es-AR"/>
        </w:rPr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rFonts w:ascii="Bookman Old Style" w:hAnsi="Bookman Old Style" w:cs="Bookman Old Style"/>
          <w:sz w:val="24"/>
          <w:lang w:val="es-AR"/>
        </w:rPr>
      </w:pPr>
      <w:r>
        <w:rPr>
          <w:rFonts w:cs="Bookman Old Style" w:ascii="Bookman Old Style" w:hAnsi="Bookman Old Style"/>
          <w:sz w:val="24"/>
          <w:lang w:val="es-AR"/>
        </w:rPr>
        <w:t xml:space="preserve">Tanto el Estado Nacional y el </w:t>
      </w:r>
      <w:r>
        <w:rPr>
          <w:rFonts w:cs="Bookman Old Style" w:ascii="Bookman Old Style" w:hAnsi="Bookman Old Style"/>
          <w:smallCaps/>
          <w:sz w:val="24"/>
          <w:lang w:val="es-AR"/>
        </w:rPr>
        <w:t>enargas,</w:t>
      </w:r>
      <w:r>
        <w:rPr>
          <w:rFonts w:cs="Bookman Old Style" w:ascii="Bookman Old Style" w:hAnsi="Bookman Old Style"/>
          <w:sz w:val="24"/>
          <w:lang w:val="es-AR"/>
        </w:rPr>
        <w:t xml:space="preserve"> como las licenciatarias, han llevado a cabo esfuerzos conjuntos por reprogramar el ajuste tarifario con miras a la protección de los usuarios del servicio.</w:t>
      </w:r>
    </w:p>
    <w:p>
      <w:pPr>
        <w:pStyle w:val="Normal"/>
        <w:spacing w:lineRule="auto" w:line="360"/>
        <w:jc w:val="both"/>
        <w:rPr>
          <w:rFonts w:ascii="Bookman Old Style" w:hAnsi="Bookman Old Style" w:cs="Bookman Old Style"/>
          <w:sz w:val="24"/>
          <w:lang w:val="es-AR"/>
        </w:rPr>
      </w:pPr>
      <w:r>
        <w:rPr>
          <w:rFonts w:cs="Bookman Old Style" w:ascii="Bookman Old Style" w:hAnsi="Bookman Old Style"/>
          <w:sz w:val="24"/>
          <w:lang w:val="es-AR"/>
        </w:rPr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rFonts w:ascii="Bookman Old Style" w:hAnsi="Bookman Old Style" w:cs="Bookman Old Style"/>
          <w:sz w:val="24"/>
          <w:lang w:val="es-AR"/>
        </w:rPr>
      </w:pPr>
      <w:r>
        <w:rPr>
          <w:rFonts w:cs="Bookman Old Style" w:ascii="Bookman Old Style" w:hAnsi="Bookman Old Style"/>
          <w:sz w:val="24"/>
          <w:lang w:val="es-AR"/>
        </w:rPr>
        <w:t xml:space="preserve">El Estado Nacional a través de un decreto suscripto por el Presidente de la República, ha reconocido en fecha coincidente con la promoción de esta acción judicial, que el ajuste por PPI es un </w:t>
      </w:r>
      <w:r>
        <w:rPr>
          <w:rFonts w:cs="Bookman Old Style" w:ascii="Bookman Old Style" w:hAnsi="Bookman Old Style"/>
          <w:i/>
          <w:sz w:val="24"/>
          <w:lang w:val="es-AR"/>
        </w:rPr>
        <w:t>derecho legítimamente adquirido</w:t>
      </w:r>
      <w:r>
        <w:rPr>
          <w:rFonts w:cs="Bookman Old Style" w:ascii="Bookman Old Style" w:hAnsi="Bookman Old Style"/>
          <w:sz w:val="24"/>
          <w:lang w:val="es-AR"/>
        </w:rPr>
        <w:t xml:space="preserve"> por las Licenciatarias. </w:t>
      </w:r>
    </w:p>
    <w:p>
      <w:pPr>
        <w:pStyle w:val="Normal"/>
        <w:spacing w:lineRule="auto" w:line="360"/>
        <w:jc w:val="both"/>
        <w:rPr>
          <w:rFonts w:ascii="Bookman Old Style" w:hAnsi="Bookman Old Style" w:cs="Bookman Old Style"/>
          <w:sz w:val="24"/>
          <w:lang w:val="es-AR"/>
        </w:rPr>
      </w:pPr>
      <w:r>
        <w:rPr>
          <w:rFonts w:cs="Bookman Old Style" w:ascii="Bookman Old Style" w:hAnsi="Bookman Old Style"/>
          <w:sz w:val="24"/>
          <w:lang w:val="es-AR"/>
        </w:rPr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rFonts w:ascii="Bookman Old Style" w:hAnsi="Bookman Old Style" w:cs="Bookman Old Style"/>
          <w:sz w:val="24"/>
          <w:lang w:val="es-AR"/>
        </w:rPr>
      </w:pPr>
      <w:r>
        <w:rPr>
          <w:rFonts w:cs="Bookman Old Style" w:ascii="Bookman Old Style" w:hAnsi="Bookman Old Style"/>
          <w:sz w:val="24"/>
          <w:lang w:val="es-AR"/>
        </w:rPr>
        <w:t>Ello supone la plena ratificación de lo aprobado por su predecesor en el cargo, y establece una línea de clara continuidad jurídica entre las dos administraciones.</w:t>
      </w:r>
    </w:p>
    <w:p>
      <w:pPr>
        <w:pStyle w:val="Normal"/>
        <w:spacing w:lineRule="auto" w:line="360"/>
        <w:jc w:val="both"/>
        <w:rPr>
          <w:rFonts w:ascii="Bookman Old Style" w:hAnsi="Bookman Old Style" w:cs="Bookman Old Style"/>
          <w:sz w:val="24"/>
          <w:lang w:val="es-AR"/>
        </w:rPr>
      </w:pPr>
      <w:r>
        <w:rPr>
          <w:rFonts w:cs="Bookman Old Style" w:ascii="Bookman Old Style" w:hAnsi="Bookman Old Style"/>
          <w:sz w:val="24"/>
          <w:lang w:val="es-AR"/>
        </w:rPr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rFonts w:ascii="Bookman Old Style" w:hAnsi="Bookman Old Style" w:cs="Bookman Old Style"/>
          <w:sz w:val="24"/>
          <w:lang w:val="es-AR"/>
        </w:rPr>
      </w:pPr>
      <w:r>
        <w:rPr>
          <w:rFonts w:cs="Bookman Old Style" w:ascii="Bookman Old Style" w:hAnsi="Bookman Old Style"/>
          <w:sz w:val="24"/>
          <w:lang w:val="es-AR"/>
        </w:rPr>
        <w:t xml:space="preserve">Ese derecho legítimamente adquirido tiene fundamentos en: (i) una ley del Congreso (24.076) y su decreto reglamentario; (ii) un contrato público celebrado luego de un concurso internacional, cuya ejecución ha estado bajo la constante vigilancia del ente regulador; (iii) dos acuerdos celebrados entre el Estado Nacional, el </w:t>
      </w:r>
      <w:r>
        <w:rPr>
          <w:rFonts w:cs="Bookman Old Style" w:ascii="Bookman Old Style" w:hAnsi="Bookman Old Style"/>
          <w:smallCaps/>
          <w:sz w:val="24"/>
          <w:lang w:val="es-AR"/>
        </w:rPr>
        <w:t>enargas</w:t>
      </w:r>
      <w:r>
        <w:rPr>
          <w:rFonts w:cs="Bookman Old Style" w:ascii="Bookman Old Style" w:hAnsi="Bookman Old Style"/>
          <w:sz w:val="24"/>
          <w:lang w:val="es-AR"/>
        </w:rPr>
        <w:t xml:space="preserve"> y las once licenciatarias; (iv) un decreto del Poder Ejecutivo (D. 669/00) que aprueba el segundo acuerdo y (v) las resoluciones del </w:t>
      </w:r>
      <w:r>
        <w:rPr>
          <w:rFonts w:cs="Bookman Old Style" w:ascii="Bookman Old Style" w:hAnsi="Bookman Old Style"/>
          <w:smallCaps/>
          <w:sz w:val="24"/>
          <w:lang w:val="es-AR"/>
        </w:rPr>
        <w:t>enargas</w:t>
      </w:r>
      <w:r>
        <w:rPr>
          <w:rFonts w:cs="Bookman Old Style" w:ascii="Bookman Old Style" w:hAnsi="Bookman Old Style"/>
          <w:sz w:val="24"/>
          <w:lang w:val="es-AR"/>
        </w:rPr>
        <w:t xml:space="preserve"> que establecen el cuadro tarifario que surge de lo aprobado por el decreto. </w:t>
      </w:r>
    </w:p>
    <w:p>
      <w:pPr>
        <w:pStyle w:val="Normal"/>
        <w:rPr>
          <w:rFonts w:ascii="Bookman Old Style" w:hAnsi="Bookman Old Style" w:cs="Bookman Old Style"/>
          <w:sz w:val="24"/>
          <w:lang w:val="es-AR"/>
        </w:rPr>
      </w:pPr>
      <w:r>
        <w:rPr>
          <w:rFonts w:cs="Bookman Old Style" w:ascii="Bookman Old Style" w:hAnsi="Bookman Old Style"/>
          <w:sz w:val="24"/>
          <w:lang w:val="es-AR"/>
        </w:rPr>
      </w:r>
    </w:p>
    <w:p>
      <w:pPr>
        <w:pStyle w:val="Heading2"/>
        <w:ind w:hanging="0" w:start="0"/>
        <w:rPr>
          <w:rFonts w:ascii="Bookman Old Style" w:hAnsi="Bookman Old Style" w:cs="Bookman Old Style"/>
        </w:rPr>
      </w:pPr>
      <w:r>
        <w:rPr>
          <w:rFonts w:cs="Bookman Old Style" w:ascii="Bookman Old Style" w:hAnsi="Bookman Old Style"/>
        </w:rPr>
        <w:t>Posibles Efectos de la no aplicación del ajuste tarifario por PPI</w:t>
      </w:r>
    </w:p>
    <w:p>
      <w:pPr>
        <w:pStyle w:val="Normal"/>
        <w:rPr>
          <w:rFonts w:ascii="Bookman Old Style" w:hAnsi="Bookman Old Style" w:cs="Bookman Old Style"/>
        </w:rPr>
      </w:pPr>
      <w:r>
        <w:rPr>
          <w:rFonts w:cs="Bookman Old Style" w:ascii="Bookman Old Style" w:hAnsi="Bookman Old Style"/>
        </w:rPr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Inseguridad jurídica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Aumento del riesgo país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6"/>
        </w:numPr>
        <w:rPr/>
      </w:pPr>
      <w:r>
        <w:rPr/>
        <w:t>Down-grading de la calificación crediticia de la industria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>Aumento del costo de financiamiento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7"/>
        </w:numPr>
        <w:rPr/>
      </w:pPr>
      <w:r>
        <w:rPr/>
        <w:t>Freno a las inversiones en el sector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Necesidad de establecer una nueva metodología tarifaria con efecto retroactivo a la fecha de la privatización.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Acciones que debería emprender el Estado Nacional </w:t>
      </w:r>
    </w:p>
    <w:p>
      <w:pPr>
        <w:pStyle w:val="Normal"/>
        <w:spacing w:lineRule="auto" w:line="360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9"/>
        </w:numPr>
        <w:spacing w:lineRule="auto" w:line="360"/>
        <w:rPr>
          <w:b/>
        </w:rPr>
      </w:pPr>
      <w:r>
        <w:rPr>
          <w:b/>
        </w:rPr>
        <w:t xml:space="preserve">ENARGAS: </w:t>
      </w:r>
      <w:r>
        <w:rPr/>
        <w:t>aprobar, con efecto a partir del 1.1.2001, los cuadros tarifarios que les fueran presentados por las Licenciatarias, los que contemplan los ajustes por el PPI no aplicado durante el año 2000 y el que corresponde aplicar en enero del 2001.</w:t>
      </w:r>
    </w:p>
    <w:p>
      <w:pPr>
        <w:pStyle w:val="Normal"/>
        <w:numPr>
          <w:ilvl w:val="0"/>
          <w:numId w:val="9"/>
        </w:numPr>
        <w:spacing w:lineRule="auto" w:line="360"/>
        <w:rPr>
          <w:b/>
        </w:rPr>
      </w:pPr>
      <w:r>
        <w:rPr>
          <w:b/>
        </w:rPr>
        <w:t xml:space="preserve">Ministerio de Economía/Secretaría de Energía: </w:t>
      </w:r>
      <w:r>
        <w:rPr/>
        <w:t>Convalidar expresamente la decisión del Enargas indicada en 1.</w:t>
      </w:r>
    </w:p>
    <w:p>
      <w:pPr>
        <w:pStyle w:val="Normal"/>
        <w:numPr>
          <w:ilvl w:val="0"/>
          <w:numId w:val="9"/>
        </w:numPr>
        <w:spacing w:lineRule="auto" w:line="360"/>
        <w:rPr>
          <w:b/>
        </w:rPr>
      </w:pPr>
      <w:r>
        <w:rPr>
          <w:b/>
        </w:rPr>
        <w:t xml:space="preserve">Poder Ejecutivo Nacional: </w:t>
      </w:r>
      <w:r>
        <w:rPr/>
        <w:t>derogar el Decreto N° 669/2000 y restablecer la plena vigencia de los ajustes tarifarios periódicos por PPI contemplados en el Marco Regulatorio.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man Old Style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G Times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6"/>
      <w:szCs w:val="20"/>
      <w:lang w:val="es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360"/>
      <w:jc w:val="both"/>
      <w:outlineLvl w:val="0"/>
    </w:pPr>
    <w:rPr>
      <w:rFonts w:ascii="Bookman Old Style" w:hAnsi="Bookman Old Style" w:cs="Bookman Old Style"/>
      <w:b/>
      <w:sz w:val="22"/>
      <w:lang w:val="es-AR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Fuentedeprrafopredeter">
    <w:name w:val="Fuente de párrafo predeter."/>
    <w:qFormat/>
    <w:rPr/>
  </w:style>
  <w:style w:type="character" w:styleId="FootnoteCharacters">
    <w:name w:val="Footnote Characters"/>
    <w:basedOn w:val="Fuentedeprrafopredete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360"/>
      <w:jc w:val="both"/>
    </w:pPr>
    <w:rPr>
      <w:rFonts w:ascii="Bookman Old Style" w:hAnsi="Bookman Old Style" w:cs="Bookman Old Style"/>
      <w:sz w:val="24"/>
      <w:lang w:val="es-AR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noteText">
    <w:name w:val="footnote text"/>
    <w:basedOn w:val="Normal"/>
    <w:pPr/>
    <w:rPr>
      <w:sz w:val="20"/>
    </w:rPr>
  </w:style>
  <w:style w:type="paragraph" w:styleId="4TXT">
    <w:name w:val="4 TXT"/>
    <w:basedOn w:val="Normal"/>
    <w:qFormat/>
    <w:pPr>
      <w:tabs>
        <w:tab w:val="clear" w:pos="708"/>
        <w:tab w:val="left" w:pos="-240" w:leader="none"/>
        <w:tab w:val="left" w:pos="0" w:leader="none"/>
      </w:tabs>
      <w:spacing w:lineRule="exact" w:line="270"/>
      <w:jc w:val="both"/>
    </w:pPr>
    <w:rPr>
      <w:rFonts w:ascii="CG Times" w:hAnsi="CG Times" w:cs="CG Times"/>
      <w:sz w:val="20"/>
      <w:lang w:val="es-ES_tradnl"/>
    </w:rPr>
  </w:style>
  <w:style w:type="paragraph" w:styleId="Textodebloque">
    <w:name w:val="Texto de bloque"/>
    <w:basedOn w:val="Normal"/>
    <w:qFormat/>
    <w:pPr>
      <w:ind w:hanging="0" w:start="567" w:end="900"/>
    </w:pPr>
    <w:rPr>
      <w:i/>
      <w:sz w:val="20"/>
      <w:lang w:val="es-AR"/>
    </w:rPr>
  </w:style>
  <w:style w:type="paragraph" w:styleId="Textoindependiente3">
    <w:name w:val="Texto independiente 3"/>
    <w:basedOn w:val="Normal"/>
    <w:qFormat/>
    <w:pPr>
      <w:jc w:val="both"/>
    </w:pPr>
    <w:rPr>
      <w:sz w:val="2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2001-01-25T22:37:00Z</dcterms:created>
  <dc:creator>Cristian Dougall</dc:creator>
  <dc:description/>
  <dc:language>en-CA</dc:language>
  <cp:lastModifiedBy>Eduardo Ojea Quintana</cp:lastModifiedBy>
  <dcterms:modified xsi:type="dcterms:W3CDTF">2001-01-25T22:37:00Z</dcterms:modified>
  <cp:revision>2</cp:revision>
  <dc:subject/>
  <dc:title>Los Acuerdos entre el Poder Ejecutivo Nacional, el ENARGAS  y las licenciatarias de transporte y distribución de gas</dc:title>
</cp:coreProperties>
</file>