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This Master Agreement is entered into as of _____________, 200_ (this "Master Agreement") between _________________, a __________ corporation ("Counterparty") and ENRON NORTH AMERICA CORP., a Delaware corporation ("ENA").</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The parties have entered or may from time to time enter into Transactions (each a "Transaction") that are or will be governed by this Master Agreement , which includes the documents and other confirming evidence (each a "Confirmation") exchanged between the parties confirming the Transactions.  Each Confirmation shall constitute a supplement to and form a part of this Master Agreement and shall be read and construed together with this Master Agreement and all Credit Support Documents so that this Master Agreement, all Credit Support Documents, and all Confirmations constitute a single agreement between the parties (collectively, the "Agreement"), and all the Transactions contemplated in Confirmations shall be integral parts of this Master Agreement.  All Transactions are entered into in reliance on the fact that this Master Agreement and all Confirmations form a single agreement between the parties, and the parties would not otherwise enter into any Transaction.  Except as otherwise provided in this Master Agreement, in the event of any inconsistency between the provisions of this Master Agreement and the terms of the relevant Transaction set forth in a Confirmation, such Confirmation will prevail for the purpose of the relevant Transaction.</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Counterparty and ENA hereby agree as follows:</w:t>
      </w:r>
    </w:p>
    <w:p>
      <w:pPr>
        <w:pStyle w:val="Normal"/>
        <w:ind w:firstLine="360" w:end="0"/>
        <w:jc w:val="both"/>
        <w:rPr>
          <w:rFonts w:ascii="Arial Narrow" w:hAnsi="Arial Narrow" w:cs="Arial Narrow"/>
          <w:sz w:val="18"/>
        </w:rPr>
      </w:pPr>
      <w:r>
        <w:rPr>
          <w:rFonts w:cs="Arial Narrow" w:ascii="Arial Narrow" w:hAnsi="Arial Narrow"/>
          <w:sz w:val="18"/>
        </w:rPr>
      </w:r>
    </w:p>
    <w:p>
      <w:pPr>
        <w:pStyle w:val="Heading2"/>
        <w:spacing w:before="0" w:after="0"/>
        <w:ind w:hanging="0" w:end="0"/>
        <w:rPr/>
      </w:pPr>
      <w:r>
        <w:rPr>
          <w:rFonts w:cs="Arial Narrow" w:ascii="Arial Narrow" w:hAnsi="Arial Narrow"/>
          <w:sz w:val="18"/>
        </w:rPr>
        <w:t xml:space="preserve">1.  </w:t>
      </w:r>
      <w:r>
        <w:rPr>
          <w:rFonts w:cs="Arial Narrow" w:ascii="Arial Narrow" w:hAnsi="Arial Narrow"/>
          <w:b/>
          <w:sz w:val="18"/>
          <w:u w:val="single"/>
        </w:rPr>
        <w:t>Transactions</w:t>
      </w:r>
      <w:r>
        <w:rPr>
          <w:rFonts w:cs="Arial Narrow" w:ascii="Arial Narrow" w:hAnsi="Arial Narrow"/>
          <w:sz w:val="18"/>
        </w:rPr>
        <w:t>.  A.  A Transaction shall be entered into by means of an offer by either party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As a material part of the consideration for entering into this Master Agreement, each of the parties agrees not to contest or assert (and hereby waives any right to) any defense to the validity or enforceability of telephonic Transactions entered into on each date ("Trade Date") in accordance with this Master Agreement under laws relating to whether certain agreements are to be in writing or signed by such party to be thereby bound or the authority of any employee.</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B.  ENA shall execute and send to Counterparty promptly after telephonic agreement to such terms a written Confirmation, which shall be promptly executed by Counterparty and returned to ENA.</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C.  A Confirmation sent as provided above for a Transaction shall become effective upon receipt by ENA of Counterparty's acceptance, unless after Counterparty's receipt of the Confirmation, Counterparty immediately notifies ENA that the Confirmation contains a bona fide error and that a correction is necessary, in which case the Confirmation, as revised to correct the error, shall be the Confirmation for the Transaction.  If any dispute shall arise as to whether an error exists, the parties shall, in good faith, make reasonable efforts to resolve the dispute.  If Counterparty has not immediately notified ENA of a bona fide error in the Confirmation or has not accepted the Confirmation in the manner set forth above within two (2) Business Days after it was received by Counterparty, the Confirmation shall be deemed binding as sent.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ind w:firstLine="360" w:end="0"/>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Each payment will be made in U.S. Dollars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otherwise expressly provided in Section 6, each payment obligation of each party under a Transaction is subject to (1) the condition precedent that no Event of Default or event which, with the giving of notice or the lapse of time or both, would constitute an Event of Default with respect to the other party has occurred and is continuing, (2) the condition precedent that no Early Termination Date or Accelerated Termination Date in respect of the relevant Transaction has occurred or been effectively designated, (3) the condition precedent that no Market Disruption Event in respect of the relevant Transaction has occurred and is continuing that is not otherwise resolved under the terms of Section 4, and (4) each other applicable condition precedent to payment specified in the Agreement; provided, however, that the condition precedent set forth in (1)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3.  </w:t>
      </w:r>
      <w:r>
        <w:rPr>
          <w:rFonts w:cs="Arial Narrow" w:ascii="Arial Narrow" w:hAnsi="Arial Narrow"/>
          <w:b/>
          <w:sz w:val="18"/>
          <w:u w:val="single"/>
        </w:rPr>
        <w:t>Representations</w:t>
      </w:r>
      <w:r>
        <w:rPr>
          <w:rFonts w:cs="Arial Narrow" w:ascii="Arial Narrow" w:hAnsi="Arial Narrow"/>
          <w:sz w:val="18"/>
        </w:rPr>
        <w:t xml:space="preserve">.  On the date hereof, on the date of entering into each Confirmation, and on the Trade Date of each Transaction, each of ENA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Agreement have been duly authorized by all necessary corporate or other organization action on its part, (ii) the Agreement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the Agreement;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the Agreement constitutes and each Transaction constitutes or will constitute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the Agreement in conjunction with its line of business (including financial intermediation services) or the financing of its business; and (ii) solely with respect to Options, it is a producer, processor, commercial user of, or merchant handling, the commodity subject to the Transaction or the products or byproducts thereof, and it has entered into each Option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the Agreement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Agreement or the expected performance or result of any Transaction; and (ii) in connection with the negotiation and execution of the Agreement, (1) it is acting as a principal only (and not as an agent or in any other capacity, fiduciary or otherwise), (2) it is not relying upon any advice, counsel or representations (whether written or oral) of the other party other than the representations expressly set forth in the Agreement, (3) it has made and will make its own decisions regarding the entering into of the Agreement based upon its own judgment and upon the advice from such professional advisors as it deemed, or will deem, necessary to consult, (4) all of its decisions regarding the Agreement have been the result of arm’s-length negotiations between the parties, and (5) it has a full understanding of all the terms, conditions and risks (economic and otherwise) of the Agreement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the relevant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(3) Business Days after the first Trading Day on which the Market Disruption Event occurred or existed, then the Floating Price shall be determined by reference to the Alternative Floating Price Source specified in the relevant Confirmation, if any, which is not subject to a Market Disruption Event.  If no Alternative Floating Price Source is available or has been specified, and the Market Disruption Event continues for more than three (3)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5.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or, if applicable, the Credit Support Provider of such party, any of the following:  (a) the failure by the Defaulting Party to make, when due, any payment required under the Agreement if such failure is not remedied within three (3) Business Days after notice of such failure is given to the Defaulting Party; (b) any representation or warranty made by the Defaulting Party or its Credit Support Provider, if any, in the Agreement shall prove to have been false or misleading in any material respect; (c) the breach by the Defaulting Party or its Credit Support Provider, if any, of any other covenant or agreement set forth in the Agreement (other than the obligation (i) to make payment and (ii) to establish, maintain, renew or increase Performance Assurance as set forth in the Credit Support Annex) and such failure is not cured within ten (10) Business Days after it is given notice thereof; (d) the occurrence of an Insolvency Event; (e) the occurrence of a Merger Event; (f) the failure in the payment when due (whether at maturity, by acceleration, or otherwise) of any obligation in respect of borrowed money, in an aggregate amount in excess of $__________ with respect to Counterparty, $__________ with respect to Counterparty’s Credit Support Provider, $100,000,000 with respect to ENA, and the failure to remedy such failure within any applicable grace period, or the failure by Counterparty or ENA,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the failure to establish, maintain, renew, substitute or increase the Performance Assurance as defined in, and in accordance with the terms and provisions of, the Credit Support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6.  </w:t>
      </w:r>
      <w:r>
        <w:rPr>
          <w:rFonts w:cs="Arial Narrow" w:ascii="Arial Narrow" w:hAnsi="Arial Narrow"/>
          <w:b/>
          <w:sz w:val="18"/>
          <w:u w:val="single"/>
        </w:rPr>
        <w:t>Remedies</w:t>
      </w:r>
      <w:r>
        <w:rPr>
          <w:rFonts w:cs="Arial Narrow" w:ascii="Arial Narrow" w:hAnsi="Arial Narrow"/>
          <w:sz w:val="18"/>
        </w:rPr>
        <w:t xml:space="preserve">.  If an Event of Default shall have occurred and shall be continuing, the non-defaulting party may, in its sole discretion, by no more than twenty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(5) Business Days of receipt of such notice, pay the net amount to the non-defaulting party, which amount shall bear interest at the Interest Rate from the Early Termination Date until paid.  If the non-defaulting party owes such net amount, the non-defaulting party shall, subject to the provisions of Section 9, within five (5) Business Days of the Early Termination Date, pay the net amount to the Defaulting Party, which amount shall bear interest at the Interest Rate from five (5) Business Days after the Early Termination Date until paid.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AGREEMENT are deemed to be such damages.  If and to the extent any payment made pursuant to thE AGREEMENT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Events of Change</w:t>
      </w:r>
      <w:r>
        <w:rPr>
          <w:rFonts w:cs="Arial Narrow" w:ascii="Arial Narrow" w:hAnsi="Arial Narrow"/>
          <w:sz w:val="18"/>
        </w:rPr>
        <w:t xml:space="preserve">.  (1)  If an Event of Change shall occur, either party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either party may designate in writing a Business Day as an accelerated termination date ("Accelerated Termination Date"), but only with respect to those Transactions that are affected by such Event of Change.  During the period between the date notice of the Event of Change is received and the designated Accelerated Termination Date, both parties shall make reasonable efforts to, if possible, avoid the situation so that the performance of the Agreement can continue with respect to those Transactions affected by the Event of Change; provided that this subsection will not impose on either party any obligation other than to negotiate in good faith to make arrangements as will not adversely affect such party. </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(2)  On an Accelerated Termination Date, all obligations under the Agreement with respect to all Transactions affected by the Event of Change that would have been payable with respect to all Determination Periods that would have ended on or after the Accelerated Termination Date shall be terminated, except for the obligations contained in this Section 7.  Upon designation of an Accelerated Termination Date, each party shall in good faith calculate its Gains, Losses and Costs resulting from the termination of those Transactions affected by the Event of Change.  Each party shall then aggregate such Gains, Losses and Costs with respect to such Transactions into a single net amount.  The party whose aggregate Losses and Costs exceed its Gains shall have a Net Loss and the party whose aggregate Gains exceed its Losses and Costs shall have a Net Gain.  Upon request, each party agrees to provide to the other written notice, in reasonable detail, of its calculations (specifying each of its Costs, Gains, and Losses) and supporting documentation, if any.  In the event that the parties cannot agree upon the amount of Net Gain or Net Loss of a party under this Section 7 within three (3) Business Days after the Accelerated Termination Date, the determination shall be made based upon the arithmetic average of the prices (excluding the highest and lowest prices) quoted by Reference Market-Makers for Replacement Transaction of all Transactions affected by the Event of Change.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(3)  Once the determination has been agreed to or made in accordance with this Section 7, then:  (i) if the Payment Amount (as calculated below) is positive, the party with the Net Gain shall pay the Payment Amount to the party with the Net Loss; and (ii) if the Payment Amount is negative, the party with the Net Loss shall pay the absolute value of the Payment Amount to the party with the Net Gain.  The Payment Amount shall equal (x) fifty percent (50%) of the sum of the Net Gain and the absolute value of the Net Loss plus (y) any Unpaid Amounts owed by the party with the Net Gain to the party with the Net Loss minus (z) any Unpaid Amounts owed by the party with the Net Loss to the party with the Net Gain.  Said payment shall be made as promptly as feasible, but in any event no later than two (2) Business Days after the later of (i) the date that the determination under Section 7(2)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8.  </w:t>
      </w:r>
      <w:r>
        <w:rPr>
          <w:rFonts w:cs="Arial Narrow" w:ascii="Arial Narrow" w:hAnsi="Arial Narrow"/>
          <w:b/>
          <w:sz w:val="18"/>
          <w:u w:val="single"/>
        </w:rPr>
        <w:t>Credit Support</w:t>
      </w:r>
      <w:r>
        <w:rPr>
          <w:rFonts w:cs="Arial Narrow" w:ascii="Arial Narrow" w:hAnsi="Arial Narrow"/>
          <w:b/>
          <w:sz w:val="18"/>
        </w:rPr>
        <w:t>.</w:t>
      </w:r>
      <w:r>
        <w:rPr>
          <w:rFonts w:cs="Arial Narrow" w:ascii="Arial Narrow" w:hAnsi="Arial Narrow"/>
          <w:sz w:val="18"/>
        </w:rPr>
        <w:t xml:space="preserve">  In consideration of, and to support the financial accommodations contemplated to be extended to each party by the other party under the Agreement, </w:t>
      </w:r>
      <w:r>
        <w:rPr>
          <w:rFonts w:cs="Arial Narrow" w:ascii="Arial Narrow" w:hAnsi="Arial Narrow"/>
          <w:color w:val="FF0000"/>
          <w:sz w:val="18"/>
        </w:rPr>
        <w:t>[</w:t>
      </w:r>
      <w:r>
        <w:rPr>
          <w:rFonts w:cs="Arial Narrow" w:ascii="Arial Narrow" w:hAnsi="Arial Narrow"/>
          <w:sz w:val="18"/>
        </w:rPr>
        <w:t>(1) the Counterparty shall cause its Credit Support Provider to deliver its Guaranty to ENA, and (2) each party shall provide Performance Assurance to the other party from time to time as provided in the Credit Support Annex, the provisions of any and all of which are incorporated herein by this reference.</w:t>
      </w:r>
      <w:r>
        <w:rPr>
          <w:rFonts w:cs="Arial Narrow" w:ascii="Arial Narrow" w:hAnsi="Arial Narrow"/>
          <w:color w:val="FF0000"/>
          <w:sz w:val="18"/>
        </w:rPr>
        <w: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the Agreement or otherwise, any amounts payable by the Defaulting Party to the non-defaulting party or any of its Affiliates under the Agreement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the Agreement, the non-defaulting party shall not be required to pay to the Defaulting Party any amount under the Agreement until the non-defaulting party receives confirmation satisfactory to it in its reasonable discretion that all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10.  </w:t>
      </w:r>
      <w:r>
        <w:rPr>
          <w:rFonts w:cs="Arial Narrow" w:ascii="Arial Narrow" w:hAnsi="Arial Narrow"/>
          <w:b/>
          <w:sz w:val="18"/>
          <w:u w:val="single"/>
        </w:rPr>
        <w:t>Confidentiality</w:t>
      </w:r>
      <w:r>
        <w:rPr>
          <w:rFonts w:cs="Arial Narrow" w:ascii="Arial Narrow" w:hAnsi="Arial Narrow"/>
          <w:sz w:val="18"/>
        </w:rPr>
        <w:t>.  The contents of this Master Agreement and all other documents relating to this Master Agreement, and any information made available by one party or its Credit Support Provider, if any, to the other party or its Credit Support Provider, if any, with respect to the Agreement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11.    </w:t>
      </w:r>
      <w:r>
        <w:rPr>
          <w:rFonts w:cs="Arial Narrow" w:ascii="Arial Narrow" w:hAnsi="Arial Narrow"/>
          <w:b/>
          <w:sz w:val="18"/>
          <w:u w:val="single"/>
        </w:rPr>
        <w:t>Severability</w:t>
      </w:r>
      <w:r>
        <w:rPr>
          <w:rFonts w:cs="Arial Narrow" w:ascii="Arial Narrow" w:hAnsi="Arial Narrow"/>
          <w:sz w:val="18"/>
        </w:rPr>
        <w:t xml:space="preserve">.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to this Master Agreement;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the introductory paragraph prior to Section 1 or Section 2, 5 or 6 (or any definition or provision in Section 13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12.  </w:t>
      </w:r>
      <w:r>
        <w:rPr>
          <w:rFonts w:cs="Arial Narrow" w:ascii="Arial Narrow" w:hAnsi="Arial Narrow"/>
          <w:b/>
          <w:sz w:val="18"/>
          <w:u w:val="single"/>
        </w:rPr>
        <w:t>Miscellaneous</w:t>
      </w:r>
      <w:r>
        <w:rPr>
          <w:rFonts w:cs="Arial Narrow" w:ascii="Arial Narrow" w:hAnsi="Arial Narrow"/>
          <w:sz w:val="18"/>
        </w:rPr>
        <w:t xml:space="preserve">.  (A) </w:t>
      </w:r>
      <w:r>
        <w:rPr>
          <w:rFonts w:cs="Arial Narrow" w:ascii="Arial Narrow" w:hAnsi="Arial Narrow"/>
          <w:sz w:val="18"/>
          <w:u w:val="single"/>
        </w:rPr>
        <w:t>Governing law</w:t>
      </w:r>
      <w:r>
        <w:rPr>
          <w:rFonts w:cs="Arial Narrow" w:ascii="Arial Narrow" w:hAnsi="Arial Narrow"/>
          <w:sz w:val="18"/>
        </w:rPr>
        <w:t xml:space="preserve">:  The Agreement shall be governed by, interpreted and construed in accordance with the laws of the State of Texas (excluding conflict of laws principles).  (B)(i) </w:t>
      </w:r>
      <w:r>
        <w:rPr>
          <w:rFonts w:cs="Arial Narrow" w:ascii="Arial Narrow" w:hAnsi="Arial Narrow"/>
          <w:sz w:val="18"/>
          <w:u w:val="single"/>
        </w:rPr>
        <w:t>Agreement to arbitrate</w:t>
      </w:r>
      <w:r>
        <w:rPr>
          <w:rFonts w:cs="Arial Narrow" w:ascii="Arial Narrow" w:hAnsi="Arial Narrow"/>
          <w:sz w:val="18"/>
        </w:rPr>
        <w:t>:  Any claim, dispute, and controversy arising out of or relating to the Agreement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(ii)</w:t>
      </w:r>
      <w:r>
        <w:rPr>
          <w:rFonts w:cs="Arial Narrow" w:ascii="Arial Narrow" w:hAnsi="Arial Narrow"/>
          <w:b/>
          <w:sz w:val="18"/>
        </w:rPr>
        <w:t xml:space="preserve"> </w:t>
      </w:r>
      <w:r>
        <w:rPr>
          <w:rFonts w:cs="Arial Narrow" w:ascii="Arial Narrow" w:hAnsi="Arial Narrow"/>
          <w:sz w:val="18"/>
          <w:u w:val="single"/>
        </w:rPr>
        <w:t>Conduct of the arbitration, authority of the arbitrators, and choice of law</w:t>
      </w:r>
      <w:r>
        <w:rPr>
          <w:rFonts w:cs="Arial Narrow" w:ascii="Arial Narrow" w:hAnsi="Arial Narrow"/>
          <w:sz w:val="18"/>
        </w:rPr>
        <w:t xml:space="preserve">: </w:t>
      </w:r>
      <w:r>
        <w:rPr>
          <w:rFonts w:cs="Arial Narrow" w:ascii="Arial Narrow" w:hAnsi="Arial Narrow"/>
          <w:i/>
          <w:sz w:val="18"/>
        </w:rPr>
        <w:t xml:space="preserve"> </w:t>
      </w:r>
      <w:r>
        <w:rPr>
          <w:rFonts w:cs="Arial Narrow" w:ascii="Arial Narrow" w:hAnsi="Arial Narrow"/>
          <w:sz w:val="18"/>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Claims.  (iii)</w:t>
      </w:r>
      <w:r>
        <w:rPr>
          <w:rFonts w:cs="Arial Narrow" w:ascii="Arial Narrow" w:hAnsi="Arial Narrow"/>
          <w:b/>
          <w:sz w:val="18"/>
        </w:rPr>
        <w:t xml:space="preserve"> </w:t>
      </w:r>
      <w:r>
        <w:rPr>
          <w:rFonts w:cs="Arial Narrow" w:ascii="Arial Narrow" w:hAnsi="Arial Narrow"/>
          <w:sz w:val="18"/>
          <w:u w:val="single"/>
        </w:rPr>
        <w:t>Forum for the arbitration and selection of arbitrators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The arbitration proceeding shall be conducted in Houston, Texas.  Within 30 days of the notice of initiation of the arbitration procedure, each party shall select one arbitrator.  The two arbitrators shall select a third arbitrator.  The third arbitrator shall be a person who has over eight years professional experience in over the 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(iv) </w:t>
      </w:r>
      <w:r>
        <w:rPr>
          <w:rFonts w:cs="Arial Narrow" w:ascii="Arial Narrow" w:hAnsi="Arial Narrow"/>
          <w:sz w:val="18"/>
          <w:u w:val="single"/>
        </w:rPr>
        <w:t>Confidentiality</w:t>
      </w:r>
      <w:r>
        <w:rPr>
          <w:rFonts w:cs="Arial Narrow" w:ascii="Arial Narrow" w:hAnsi="Arial Narrow"/>
          <w:sz w:val="18"/>
        </w:rPr>
        <w:t xml:space="preserve">:  To the fullest extent permitted by law, any arbitration proceeding and the arbitrators’ award shall be maintained in confidence by the parties.  (C) </w:t>
      </w:r>
      <w:r>
        <w:rPr>
          <w:rFonts w:cs="Arial Narrow" w:ascii="Arial Narrow" w:hAnsi="Arial Narrow"/>
          <w:sz w:val="18"/>
          <w:u w:val="single"/>
        </w:rPr>
        <w:t>Binding effect and assignments</w:t>
      </w:r>
      <w:r>
        <w:rPr>
          <w:rFonts w:cs="Arial Narrow" w:ascii="Arial Narrow" w:hAnsi="Arial Narrow"/>
          <w:sz w:val="18"/>
        </w:rPr>
        <w:t xml:space="preserve">:  The Agreement shall be binding upon and inure to the benefit of the parties and their respective successors and (effective upon scheduled delivery day) permitted assigns; provided, however, that neither party shall have the power to assign or otherwise transfer all or any of its rights or obligations under the Agreement without the prior written consent of the other party, which consent shall not be unreasonably withheld or delayed,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ENA may assign or transfer its rights and obligations to an Affiliate so long as its obligations are either (i) guaranteed pursuant to an Enron Corp. Guaranty, or (ii) supported by Performance Assurance in an amount satisfactory to Counterparty, and any purported assignment or transfer in violation of this provision shall be void and of no force and effect.  (D) </w:t>
      </w:r>
      <w:r>
        <w:rPr>
          <w:rFonts w:cs="Arial Narrow" w:ascii="Arial Narrow" w:hAnsi="Arial Narrow"/>
          <w:sz w:val="18"/>
          <w:u w:val="single"/>
        </w:rPr>
        <w:t>Entire agreement; notices; etc.</w:t>
      </w:r>
      <w:r>
        <w:rPr>
          <w:rFonts w:cs="Arial Narrow" w:ascii="Arial Narrow" w:hAnsi="Arial Narrow"/>
          <w:sz w:val="18"/>
        </w:rPr>
        <w:t xml:space="preserve">  The Agreement contains the entire agreement between the parties and supersedes all prior oral or written communications or agreements relating to the subject matter.  All notices in connection with the Agreement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The Agreement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the Agreement.  (E) </w:t>
      </w:r>
      <w:r>
        <w:rPr>
          <w:rFonts w:cs="Arial Narrow" w:ascii="Arial Narrow" w:hAnsi="Arial Narrow"/>
          <w:sz w:val="18"/>
          <w:u w:val="single"/>
        </w:rPr>
        <w:t>Documents to be delivered</w:t>
      </w:r>
      <w:r>
        <w:rPr>
          <w:rFonts w:cs="Arial Narrow" w:ascii="Arial Narrow" w:hAnsi="Arial Narrow"/>
          <w:sz w:val="18"/>
        </w:rPr>
        <w:t xml:space="preserve">:  Concurrently with the execution and delivery of this Master Agreement and any Credit Support Documents, each party shall furnish to the other party the following documents in form and substance satisfactory to the other party:  a certificate or certificates as to the incumbency and specimen signatures of its and its Credit Support Provider's, if any, officers or other authorized representatives executing this Master Agreement and any Credit Support Documents.  Each party shall upon written request of the other party, deliver to such party (1) as soon as available and in any event within 120 days after the end of each of its fiscal years, a copy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 xml:space="preserve">(or in the case of ENA, Enron Corp.’s) annual report containing consolidated financial statements for such fiscal year certified by independent public accountants and prepared in accordance with generally accepted accounting principles, and (2) as soon as available and in any event within 60 days after the end of each of its first three fiscal quarters of each fiscal year, copies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 xml:space="preserve">(or in the case of ENA, Enron Corp.’s) quarterly reports containing unaudited consolidated financial statements for such fiscal quarter prepared in accordance with generally accepted accounting principles.  With respect to any Transaction, each party shall, upon request, furnish to the other party as soon as practicable such other documents as the other party shall reasonably request.  (F) </w:t>
      </w:r>
      <w:r>
        <w:rPr>
          <w:rFonts w:cs="Arial Narrow" w:ascii="Arial Narrow" w:hAnsi="Arial Narrow"/>
          <w:sz w:val="18"/>
          <w:u w:val="single"/>
        </w:rPr>
        <w:t>Survival</w:t>
      </w:r>
      <w:r>
        <w:rPr>
          <w:rFonts w:cs="Arial Narrow" w:ascii="Arial Narrow" w:hAnsi="Arial Narrow"/>
          <w:sz w:val="18"/>
        </w:rPr>
        <w:t>:  Except to the extent otherwise provided in Section 6 as to certain payment obligations terminated under a Transaction that has been terminated, the obligations of the parties under the Agreement shall survive the termination of any Transaction, and the provisions of the Agreement shall continue to be effective until the parties otherwise agree in writing.</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13.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Master Agreement, shall have the meanings given such terms in the relevant Confirmation.  As used in the Agreement: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shall mean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shall mean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shall mean,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shall mean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Calculation of a Cash Settlement Amount</w:t>
      </w:r>
      <w:r>
        <w:rPr>
          <w:rFonts w:cs="Arial Narrow" w:ascii="Arial Narrow" w:hAnsi="Arial Narrow"/>
          <w:sz w:val="18"/>
        </w:rPr>
        <w:t>" shall mean, as to any Option to which a Cash Settlement is deemed to be applicable, unless the parties otherwise specify in a Confirmation, the Cash Settlement Amount in respect of an Option payable by a party on a Payment Date, which shall equal (1) in respect of an Option other than a Swaption, an amount, if any, calculated on a formula basis for that Payment Date as follows:  Cash Settlement Amount = Notional Quantity X Strike Price Differential or (2) in respect of a Swaption, an amount, if any, determined by a method specified in or pursuant to the relevant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shall mean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shall mean,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Costs</w:t>
      </w:r>
      <w:r>
        <w:rPr>
          <w:rFonts w:cs="Arial Narrow" w:ascii="Arial Narrow" w:hAnsi="Arial Narrow"/>
          <w:sz w:val="18"/>
        </w:rPr>
        <w:t>"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Annex</w:t>
      </w:r>
      <w:r>
        <w:rPr>
          <w:rFonts w:cs="Arial Narrow" w:ascii="Arial Narrow" w:hAnsi="Arial Narrow"/>
          <w:i/>
          <w:sz w:val="18"/>
        </w:rPr>
        <w:t>"</w:t>
      </w:r>
      <w:r>
        <w:rPr>
          <w:rFonts w:cs="Arial Narrow" w:ascii="Arial Narrow" w:hAnsi="Arial Narrow"/>
          <w:sz w:val="18"/>
        </w:rPr>
        <w:t xml:space="preserve"> shall mean the </w:t>
      </w:r>
      <w:r>
        <w:rPr>
          <w:rFonts w:cs="Arial Narrow" w:ascii="Arial Narrow" w:hAnsi="Arial Narrow"/>
          <w:sz w:val="18"/>
          <w:u w:val="single"/>
        </w:rPr>
        <w:t>Annex A</w:t>
      </w:r>
      <w:r>
        <w:rPr>
          <w:rFonts w:cs="Arial Narrow" w:ascii="Arial Narrow" w:hAnsi="Arial Narrow"/>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Documents</w:t>
      </w:r>
      <w:r>
        <w:rPr>
          <w:rFonts w:cs="Arial Narrow" w:ascii="Arial Narrow" w:hAnsi="Arial Narrow"/>
          <w:i/>
          <w:sz w:val="18"/>
        </w:rPr>
        <w:t>"</w:t>
      </w:r>
      <w:r>
        <w:rPr>
          <w:rFonts w:cs="Arial Narrow" w:ascii="Arial Narrow" w:hAnsi="Arial Narrow"/>
          <w:sz w:val="18"/>
        </w:rPr>
        <w:t xml:space="preserve"> shall mean any Guaranty, letter of credit, security agreement, the Credit Support Annex, and any other credit support document required by, or provided pursuant to,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Provide</w:t>
      </w:r>
      <w:r>
        <w:rPr>
          <w:rFonts w:cs="Arial Narrow" w:ascii="Arial Narrow" w:hAnsi="Arial Narrow"/>
          <w:i/>
          <w:sz w:val="18"/>
        </w:rPr>
        <w:t>r"</w:t>
      </w:r>
      <w:r>
        <w:rPr>
          <w:rFonts w:cs="Arial Narrow" w:ascii="Arial Narrow" w:hAnsi="Arial Narrow"/>
          <w:sz w:val="18"/>
        </w:rPr>
        <w:t xml:space="preserve"> shall mean, 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shall mean each period specified as such in the Confirmation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Event of Change</w:t>
      </w:r>
      <w:r>
        <w:rPr>
          <w:rFonts w:cs="Arial Narrow" w:ascii="Arial Narrow" w:hAnsi="Arial Narrow"/>
          <w:i/>
          <w:sz w:val="18"/>
        </w:rPr>
        <w:t>"</w:t>
      </w:r>
      <w:r>
        <w:rPr>
          <w:rFonts w:cs="Arial Narrow" w:ascii="Arial Narrow" w:hAnsi="Arial Narrow"/>
          <w:sz w:val="18"/>
        </w:rPr>
        <w:t xml:space="preserve"> shall mean the enactment, promulgation, execution, or ratification of, or any change in or amendment to, any law, rule, or regulation (or the application or interpretation of any law, rule, or regulation) that occurs after the Trade Date of a Transaction which would result in (i) the imposition of a withholding tax in a material amount by any government or taxing authority upon the making of payments (other than payments of interest) hereunder by either of the parties with respect to such Transaction; or (ii) the performance of any obligation of either of the parties or its Credit Support Provider, if any, under the Agreement being unlawful.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shall mean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Floating Amoun</w:t>
      </w:r>
      <w:r>
        <w:rPr>
          <w:rFonts w:cs="Arial Narrow" w:ascii="Arial Narrow" w:hAnsi="Arial Narrow"/>
          <w:i/>
          <w:sz w:val="18"/>
        </w:rPr>
        <w:t>t"</w:t>
      </w:r>
      <w:r>
        <w:rPr>
          <w:rFonts w:cs="Arial Narrow" w:ascii="Arial Narrow" w:hAnsi="Arial Narrow"/>
          <w:sz w:val="18"/>
        </w:rPr>
        <w:t xml:space="preserve"> shall mean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shall mean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Gain</w:t>
      </w:r>
      <w:r>
        <w:rPr>
          <w:rFonts w:cs="Arial Narrow" w:ascii="Arial Narrow" w:hAnsi="Arial Narrow"/>
          <w:i/>
          <w:sz w:val="18"/>
        </w:rPr>
        <w:t>"</w:t>
      </w:r>
      <w:r>
        <w:rPr>
          <w:rFonts w:cs="Arial Narrow" w:ascii="Arial Narrow" w:hAnsi="Arial Narrow"/>
          <w:sz w:val="18"/>
        </w:rPr>
        <w:t xml:space="preserve"> shall mean, with respect to a party, an amount equal to the present value of the economic benefit, if any, (exclusive of Costs) to it resulting from the termination of its obligations with respect to a terminated Transaction, determined in a commercially reasonable manner.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shall mean, 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Insolvency Event</w:t>
      </w:r>
      <w:r>
        <w:rPr>
          <w:rFonts w:cs="Arial Narrow" w:ascii="Arial Narrow" w:hAnsi="Arial Narrow"/>
          <w:i/>
          <w:sz w:val="18"/>
        </w:rPr>
        <w:t>"</w:t>
      </w:r>
      <w:r>
        <w:rPr>
          <w:rFonts w:cs="Arial Narrow" w:ascii="Arial Narrow" w:hAnsi="Arial Narrow"/>
          <w:sz w:val="18"/>
        </w:rPr>
        <w:t xml:space="preserve"> shall mean, with respect to any party, any of the following:  (1) the party or its Credit Support Provider, if any, is insolvent, or generally does not or is not able to pay its debts as they become due, or admits in writing its inability to pay its debts generally as they become due; (2)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it, or for a substantial part of its property; (3) the party or its Credit Support Provider, if any, consents to the dissolution or winding up of its affairs (other than pursuant to a consolidation, amalgamation, or merger); (4) the party or its Credit Support Provider, if any, takes any corporate or other appropriate organizational action to authorize any of the actions described in clauses (1), (2) or (3) above; or (5)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Credit Support Provider, if any, fails to controvert such proceeding in a timely and appropriate manner or such proceeding is consented to or acquiesced in by the party or remains for 30 days undismissed, or an order for relief against the party or its Credit Support Provider, if any, is entered under applicable bankruptcy law or other law for the relief of debtors.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shall mean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shall not exceed the maximum lawful rate under applicable law.</w:t>
      </w:r>
    </w:p>
    <w:p>
      <w:pPr>
        <w:pStyle w:val="Normal"/>
        <w:jc w:val="both"/>
        <w:rPr>
          <w:rFonts w:ascii="Arial Narrow" w:hAnsi="Arial Narrow" w:cs="Arial Narrow"/>
          <w:i/>
          <w:i/>
          <w:sz w:val="18"/>
        </w:rPr>
      </w:pPr>
      <w:r>
        <w:rPr>
          <w:rFonts w:cs="Arial Narrow" w:ascii="Arial Narrow" w:hAnsi="Arial Narrow"/>
          <w:i/>
          <w:sz w:val="18"/>
        </w:rPr>
      </w:r>
    </w:p>
    <w:p>
      <w:pPr>
        <w:pStyle w:val="Normal"/>
        <w:jc w:val="both"/>
        <w:rPr/>
      </w:pPr>
      <w:r>
        <w:rPr>
          <w:rFonts w:cs="Arial Narrow" w:ascii="Arial Narrow" w:hAnsi="Arial Narrow"/>
          <w:i/>
          <w:sz w:val="18"/>
        </w:rPr>
        <w:t>"</w:t>
      </w:r>
      <w:r>
        <w:rPr>
          <w:rFonts w:cs="Arial Narrow" w:ascii="Arial Narrow" w:hAnsi="Arial Narrow"/>
          <w:i/>
          <w:sz w:val="18"/>
          <w:u w:val="single"/>
        </w:rPr>
        <w:t>Loss</w:t>
      </w:r>
      <w:r>
        <w:rPr>
          <w:rFonts w:cs="Arial Narrow" w:ascii="Arial Narrow" w:hAnsi="Arial Narrow"/>
          <w:sz w:val="18"/>
        </w:rPr>
        <w:t>" shall mean, with respect to a party, an amount equal to the present value of the economic loss, if any, (exclusive of Costs) to it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shall mean,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Merger Event</w:t>
      </w:r>
      <w:r>
        <w:rPr>
          <w:rFonts w:cs="Arial Narrow" w:ascii="Arial Narrow" w:hAnsi="Arial Narrow"/>
          <w:i/>
          <w:sz w:val="18"/>
        </w:rPr>
        <w:t>"</w:t>
      </w:r>
      <w:r>
        <w:rPr>
          <w:rFonts w:cs="Arial Narrow" w:ascii="Arial Narrow" w:hAnsi="Arial Narrow"/>
          <w:sz w:val="18"/>
        </w:rPr>
        <w:t xml:space="preserve"> shall mean, with respect to a party or its Credit Support Provider, if any (in each case, "X"), the consolidation or amalgamation with, merger with or into, or transfer of all or substantially all of its assets to, another entity and (1) at the time of such consolidation, amalgamation, merger or transfer, the resulting, surviving or transferee entity fails to assume all the obligations of X under the Agreement or any Credit Support Document to which it or its predecessor was a party by operation of law or pursuant to an agreement reasonably satisfactory to the other party; (2) the creditworthiness of the resulting, surviving or transferee entity is materially weaker, in the reasonable opinion of the other party, than that of X, immediately prior to such action; or (3) at the time of such consolidation, amalgamation, merger or transfer, the benefits of any Credit Support Document fail to extend (without the consent of the other party) to the performance by such resulting, surviving or transferee entity of the obligations of X under the Agreement; provided, however, that the events specified in this definition shall not constitute a "Merger Event" with respect to ENA or Counterparty, as the case may be (the "Affected Party")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incorporated in the United States and is directly or indirectly owned by the Affected Party's Credit Support Provider, if any, and all Credit Support Documents provided by such Credit Support Provider, if any, remain in full force and effect after such event, or the Affected Party establishes and maintains Performance Assurance, in an amount satisfactory to the other party within two (2) Business Days of such party’s written request.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Option</w:t>
      </w:r>
      <w:r>
        <w:rPr>
          <w:rFonts w:cs="Arial Narrow" w:ascii="Arial Narrow" w:hAnsi="Arial Narrow"/>
          <w:i/>
          <w:sz w:val="18"/>
        </w:rPr>
        <w:t>"</w:t>
      </w:r>
      <w:r>
        <w:rPr>
          <w:rFonts w:cs="Arial Narrow" w:ascii="Arial Narrow" w:hAnsi="Arial Narrow"/>
          <w:sz w:val="18"/>
        </w:rPr>
        <w:t xml:space="preserve"> shall mean any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Payment Date</w:t>
      </w:r>
      <w:r>
        <w:rPr>
          <w:rFonts w:cs="Arial Narrow" w:ascii="Arial Narrow" w:hAnsi="Arial Narrow"/>
          <w:sz w:val="18"/>
        </w:rPr>
        <w:t>" shall mean, with respect to each Transaction, unless otherwise provided in the relevant Confirmation, the fifth (5th) Business Day after the Floating Price is determinable, provided that if the Payment Date is an Accelerated Termination Date or an Early Termination Date, as the case may be, the Payment Date with respect thereto shall be the date amounts are payable pursuant to Sections 6 or 7,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Performance Assurance</w:t>
      </w:r>
      <w:r>
        <w:rPr>
          <w:rFonts w:cs="Arial Narrow" w:ascii="Arial Narrow" w:hAnsi="Arial Narrow"/>
          <w:i/>
          <w:sz w:val="18"/>
        </w:rPr>
        <w:t>"</w:t>
      </w:r>
      <w:r>
        <w:rPr>
          <w:rFonts w:cs="Arial Narrow" w:ascii="Arial Narrow" w:hAnsi="Arial Narrow"/>
          <w:sz w:val="18"/>
        </w:rPr>
        <w:t xml:space="preserve"> shall mean any Eligible Collateral (as defined in the Credit Support Annex) provided in accordance with the provisions of the Credit Support Annex.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Reference Market-Makers</w:t>
      </w:r>
      <w:r>
        <w:rPr>
          <w:rFonts w:cs="Arial Narrow" w:ascii="Arial Narrow" w:hAnsi="Arial Narrow"/>
          <w:i/>
          <w:sz w:val="18"/>
        </w:rPr>
        <w:t>"</w:t>
      </w:r>
      <w:r>
        <w:rPr>
          <w:rFonts w:cs="Arial Narrow" w:ascii="Arial Narrow" w:hAnsi="Arial Narrow"/>
          <w:sz w:val="18"/>
        </w:rPr>
        <w:t xml:space="preserve"> shall mean four leading dealers in the relevant commodity swap or option market, consisting of two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Replacement Transaction</w:t>
      </w:r>
      <w:r>
        <w:rPr>
          <w:rFonts w:cs="Arial Narrow" w:ascii="Arial Narrow" w:hAnsi="Arial Narrow"/>
          <w:sz w:val="18"/>
        </w:rPr>
        <w:t>" shall mean such other Transaction, commencing on the Accelerated Termination Date which, if entered into by ENA or Counterparty, would have the effect of preserving the economic equivalent of the payment obligations and rights of the parties under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Swap</w:t>
      </w:r>
      <w:r>
        <w:rPr>
          <w:rFonts w:cs="Arial Narrow" w:ascii="Arial Narrow" w:hAnsi="Arial Narrow"/>
          <w:i/>
          <w:sz w:val="18"/>
        </w:rPr>
        <w:t>"</w:t>
      </w:r>
      <w:r>
        <w:rPr>
          <w:rFonts w:cs="Arial Narrow" w:ascii="Arial Narrow" w:hAnsi="Arial Narrow"/>
          <w:sz w:val="18"/>
        </w:rPr>
        <w:t xml:space="preserve"> shall mean a Transaction in which the Floating Price Payor makes a cash payment to the Fixed Price Payor in respect of a Determination Period in which the Floating Amount exceeds the Fixed Amount, or a Transaction in which the Fixed Price Payor makes a cash payment to the Floating Price Payor in respect of a Determination Period in which the Fixed Amount exceeds the Floating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shall mean in respect of a Swaption, a Transaction, the terms of which are identified in the Confirmation, which Transaction will not become effective unless the right to cause that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Unpaid Amounts</w:t>
      </w:r>
      <w:r>
        <w:rPr>
          <w:rFonts w:cs="Arial Narrow" w:ascii="Arial Narrow" w:hAnsi="Arial Narrow"/>
          <w:sz w:val="18"/>
        </w:rPr>
        <w:t>" shall mean any unpaid amount or amounts that became due and payable with respect to any Determination Period that ended on or before any Accelerated Termination Date or Early Termination Date, as the case may be.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shall mean,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ind w:firstLine="720" w:end="0"/>
        <w:jc w:val="both"/>
        <w:rPr>
          <w:rFonts w:ascii="Arial Narrow" w:hAnsi="Arial Narrow" w:cs="Arial Narrow"/>
          <w:sz w:val="18"/>
        </w:rPr>
      </w:pPr>
      <w:r>
        <w:rPr>
          <w:rFonts w:cs="Arial Narrow" w:ascii="Arial Narrow" w:hAnsi="Arial Narrow"/>
          <w:sz w:val="18"/>
        </w:rPr>
        <w:t>IN WITNESS WHEREOF, the parties hereto have executed and delivered this Master Agreement effective as of the date first above written.</w:t>
      </w:r>
    </w:p>
    <w:p>
      <w:pPr>
        <w:pStyle w:val="Normal"/>
        <w:keepNext w:val="true"/>
        <w:jc w:val="both"/>
        <w:rPr>
          <w:rFonts w:ascii="Arial Narrow" w:hAnsi="Arial Narrow" w:cs="Arial Narrow"/>
          <w:sz w:val="18"/>
        </w:rPr>
      </w:pPr>
      <w:r>
        <w:rPr>
          <w:rFonts w:cs="Arial Narrow" w:ascii="Arial Narrow" w:hAnsi="Arial Narrow"/>
          <w:sz w:val="18"/>
        </w:rPr>
      </w:r>
    </w:p>
    <w:tbl>
      <w:tblPr>
        <w:tblW w:w="4559" w:type="dxa"/>
        <w:jc w:val="start"/>
        <w:tblInd w:w="0" w:type="dxa"/>
        <w:tblLayout w:type="fixed"/>
        <w:tblCellMar>
          <w:top w:w="0" w:type="dxa"/>
          <w:start w:w="108" w:type="dxa"/>
          <w:bottom w:w="0" w:type="dxa"/>
          <w:end w:w="108" w:type="dxa"/>
        </w:tblCellMar>
      </w:tblPr>
      <w:tblGrid>
        <w:gridCol w:w="4559"/>
      </w:tblGrid>
      <w:tr>
        <w:trPr/>
        <w:tc>
          <w:tcPr>
            <w:tcW w:w="4559" w:type="dxa"/>
            <w:tcBorders/>
          </w:tcPr>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Normal"/>
        <w:keepNext w:val="true"/>
        <w:jc w:val="both"/>
        <w:rPr>
          <w:rFonts w:ascii="Arial Narrow" w:hAnsi="Arial Narrow" w:cs="Arial Narrow"/>
          <w:sz w:val="18"/>
        </w:rPr>
      </w:pPr>
      <w:r>
        <w:rPr>
          <w:rFonts w:cs="Arial Narrow" w:ascii="Arial Narrow" w:hAnsi="Arial Narrow"/>
          <w:sz w:val="18"/>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rPr>
              <w:t>COUNTERPARTY</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w:t>
            </w:r>
            <w:r>
              <w:rPr>
                <w:rFonts w:cs="Arial Narrow" w:ascii="Arial Narrow" w:hAnsi="Arial Narrow"/>
                <w:b/>
                <w:sz w:val="18"/>
                <w:u w:val="single"/>
              </w:rPr>
              <w:t>DRAFT/</w:t>
            </w:r>
            <w:r>
              <w:rPr>
                <w:rFonts w:cs="Arial Narrow" w:ascii="Arial Narrow" w:hAnsi="Arial Narrow"/>
                <w:sz w:val="18"/>
                <w:u w:val="single"/>
              </w:rPr>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Normal"/>
        <w:tabs>
          <w:tab w:val="left" w:pos="720" w:leader="none"/>
          <w:tab w:val="left" w:pos="1080" w:leader="none"/>
          <w:tab w:val="left" w:pos="2880" w:leader="none"/>
          <w:tab w:val="left" w:pos="3600" w:leader="none"/>
          <w:tab w:val="left" w:pos="4320" w:leader="none"/>
          <w:tab w:val="left" w:pos="9180" w:leader="dot"/>
          <w:tab w:val="right" w:pos="9540" w:leader="none"/>
        </w:tabs>
        <w:rPr>
          <w:rFonts w:ascii="Arial Narrow" w:hAnsi="Arial Narrow" w:cs="Arial Narrow"/>
          <w:sz w:val="18"/>
        </w:rPr>
      </w:pPr>
      <w:r>
        <w:rPr>
          <w:rFonts w:cs="Arial Narrow" w:ascii="Arial Narrow" w:hAnsi="Arial Narrow"/>
          <w:sz w:val="18"/>
        </w:rPr>
      </w:r>
    </w:p>
    <w:tbl>
      <w:tblPr>
        <w:tblW w:w="4158" w:type="dxa"/>
        <w:jc w:val="start"/>
        <w:tblInd w:w="0" w:type="dxa"/>
        <w:tblLayout w:type="fixed"/>
        <w:tblCellMar>
          <w:top w:w="0" w:type="dxa"/>
          <w:start w:w="108" w:type="dxa"/>
          <w:bottom w:w="0" w:type="dxa"/>
          <w:end w:w="108" w:type="dxa"/>
        </w:tblCellMar>
      </w:tblPr>
      <w:tblGrid>
        <w:gridCol w:w="1368"/>
        <w:gridCol w:w="2790"/>
      </w:tblGrid>
      <w:tr>
        <w:trPr/>
        <w:tc>
          <w:tcPr>
            <w:tcW w:w="1368" w:type="dxa"/>
            <w:tcBorders/>
          </w:tcPr>
          <w:p>
            <w:pPr>
              <w:pStyle w:val="Normal"/>
              <w:rPr>
                <w:rFonts w:ascii="Arial Narrow" w:hAnsi="Arial Narrow" w:cs="Arial Narrow"/>
                <w:sz w:val="18"/>
              </w:rPr>
            </w:pPr>
            <w:r>
              <w:rPr>
                <w:rFonts w:cs="Arial Narrow" w:ascii="Arial Narrow" w:hAnsi="Arial Narrow"/>
                <w:sz w:val="18"/>
              </w:rPr>
              <w:t>EXHIBIT A</w:t>
            </w:r>
          </w:p>
        </w:tc>
        <w:tc>
          <w:tcPr>
            <w:tcW w:w="2790" w:type="dxa"/>
            <w:tcBorders/>
          </w:tcPr>
          <w:p>
            <w:pPr>
              <w:pStyle w:val="Normal"/>
              <w:rPr>
                <w:rFonts w:ascii="Arial Narrow" w:hAnsi="Arial Narrow" w:cs="Arial Narrow"/>
                <w:sz w:val="18"/>
              </w:rPr>
            </w:pPr>
            <w:r>
              <w:rPr>
                <w:rFonts w:cs="Arial Narrow" w:ascii="Arial Narrow" w:hAnsi="Arial Narrow"/>
                <w:sz w:val="18"/>
              </w:rPr>
              <w:t>NOTICE AND COMMUNICATION</w:t>
            </w:r>
          </w:p>
        </w:tc>
      </w:tr>
      <w:tr>
        <w:trPr/>
        <w:tc>
          <w:tcPr>
            <w:tcW w:w="1368" w:type="dxa"/>
            <w:tcBorders/>
          </w:tcPr>
          <w:p>
            <w:pPr>
              <w:pStyle w:val="Normal"/>
              <w:rPr>
                <w:rFonts w:ascii="Arial Narrow" w:hAnsi="Arial Narrow" w:cs="Arial Narrow"/>
                <w:sz w:val="18"/>
              </w:rPr>
            </w:pPr>
            <w:r>
              <w:rPr>
                <w:rFonts w:cs="Arial Narrow" w:ascii="Arial Narrow" w:hAnsi="Arial Narrow"/>
                <w:sz w:val="18"/>
              </w:rPr>
              <w:t>ANNEX A</w:t>
            </w:r>
          </w:p>
        </w:tc>
        <w:tc>
          <w:tcPr>
            <w:tcW w:w="2790" w:type="dxa"/>
            <w:tcBorders/>
          </w:tcPr>
          <w:p>
            <w:pPr>
              <w:pStyle w:val="Normal"/>
              <w:rPr>
                <w:rFonts w:ascii="Arial Narrow" w:hAnsi="Arial Narrow" w:cs="Arial Narrow"/>
                <w:sz w:val="18"/>
              </w:rPr>
            </w:pPr>
            <w:r>
              <w:rPr>
                <w:rFonts w:cs="Arial Narrow" w:ascii="Arial Narrow" w:hAnsi="Arial Narrow"/>
                <w:sz w:val="18"/>
              </w:rPr>
              <w:t>CREDIT SUPPORT ANNEX</w:t>
            </w:r>
          </w:p>
        </w:tc>
      </w:tr>
      <w:tr>
        <w:trPr/>
        <w:tc>
          <w:tcPr>
            <w:tcW w:w="1368" w:type="dxa"/>
            <w:tcBorders/>
          </w:tcPr>
          <w:p>
            <w:pPr>
              <w:pStyle w:val="Normal"/>
              <w:rPr>
                <w:rFonts w:ascii="Arial Narrow" w:hAnsi="Arial Narrow" w:cs="Arial Narrow"/>
                <w:sz w:val="18"/>
              </w:rPr>
            </w:pPr>
            <w:r>
              <w:rPr>
                <w:rFonts w:cs="Arial Narrow" w:ascii="Arial Narrow" w:hAnsi="Arial Narrow"/>
                <w:sz w:val="18"/>
              </w:rPr>
              <w:t>SCHEDULE 1</w:t>
            </w:r>
          </w:p>
        </w:tc>
        <w:tc>
          <w:tcPr>
            <w:tcW w:w="2790" w:type="dxa"/>
            <w:tcBorders/>
          </w:tcPr>
          <w:p>
            <w:pPr>
              <w:pStyle w:val="Normal"/>
              <w:rPr>
                <w:rFonts w:ascii="Arial Narrow" w:hAnsi="Arial Narrow" w:cs="Arial Narrow"/>
                <w:sz w:val="18"/>
              </w:rPr>
            </w:pPr>
            <w:r>
              <w:rPr>
                <w:rFonts w:cs="Arial Narrow" w:ascii="Arial Narrow" w:hAnsi="Arial Narrow"/>
                <w:sz w:val="18"/>
              </w:rPr>
              <w:t>FORM OF LETTER OF CREDIT</w:t>
            </w:r>
          </w:p>
        </w:tc>
      </w:tr>
    </w:tbl>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Pr>
    </w:p>
    <w:p>
      <w:pPr>
        <w:pStyle w:val="Normal"/>
        <w:keepNext w:val="true"/>
        <w:tabs>
          <w:tab w:val="clear" w:pos="720"/>
          <w:tab w:val="left" w:pos="5310" w:leader="none"/>
        </w:tabs>
        <w:spacing w:before="480" w:after="0"/>
        <w:jc w:val="center"/>
        <w:rPr/>
      </w:pPr>
      <w:r>
        <w:rPr>
          <w:rFonts w:cs="Arial Narrow" w:ascii="Arial Narrow" w:hAnsi="Arial Narrow"/>
          <w:b/>
          <w:sz w:val="18"/>
        </w:rPr>
        <w:t>EXHIBIT "A"</w:t>
      </w:r>
      <w:r>
        <w:rPr>
          <w:rFonts w:cs="Arial Narrow" w:ascii="Arial Narrow" w:hAnsi="Arial Narrow"/>
          <w:sz w:val="18"/>
        </w:rPr>
        <w:br/>
        <w:t>to</w:t>
        <w:br/>
        <w:t>MASTER AGREEMENT</w:t>
      </w:r>
    </w:p>
    <w:p>
      <w:pPr>
        <w:pStyle w:val="Normal"/>
        <w:keepNext w:val="true"/>
        <w:jc w:val="center"/>
        <w:rPr>
          <w:rFonts w:ascii="Arial Narrow" w:hAnsi="Arial Narrow" w:cs="Arial Narrow"/>
          <w:sz w:val="18"/>
        </w:rPr>
      </w:pPr>
      <w:r>
        <w:rPr>
          <w:rFonts w:cs="Arial Narrow" w:ascii="Arial Narrow" w:hAnsi="Arial Narrow"/>
          <w:sz w:val="18"/>
        </w:rPr>
        <w:t>NOTICE AND COMMUNICATION</w:t>
      </w:r>
    </w:p>
    <w:p>
      <w:pPr>
        <w:pStyle w:val="Normal"/>
        <w:keepNext w:val="true"/>
        <w:jc w:val="center"/>
        <w:rPr>
          <w:rFonts w:ascii="Arial Narrow" w:hAnsi="Arial Narrow" w:cs="Arial Narrow"/>
          <w:sz w:val="18"/>
        </w:rPr>
      </w:pPr>
      <w:r>
        <w:rPr>
          <w:rFonts w:cs="Arial Narrow" w:ascii="Arial Narrow" w:hAnsi="Arial Narrow"/>
          <w:sz w:val="18"/>
        </w:rPr>
      </w:r>
    </w:p>
    <w:tbl>
      <w:tblPr>
        <w:tblW w:w="9974" w:type="dxa"/>
        <w:jc w:val="start"/>
        <w:tblInd w:w="0" w:type="dxa"/>
        <w:tblLayout w:type="fixed"/>
        <w:tblCellMar>
          <w:top w:w="0" w:type="dxa"/>
          <w:start w:w="0" w:type="dxa"/>
          <w:bottom w:w="0" w:type="dxa"/>
          <w:end w:w="0" w:type="dxa"/>
        </w:tblCellMar>
      </w:tblPr>
      <w:tblGrid>
        <w:gridCol w:w="5331"/>
        <w:gridCol w:w="17"/>
        <w:gridCol w:w="4559"/>
        <w:gridCol w:w="66"/>
        <w:gridCol w:w="1"/>
      </w:tblGrid>
      <w:tr>
        <w:trPr/>
        <w:tc>
          <w:tcPr>
            <w:tcW w:w="5331" w:type="dxa"/>
            <w:tcBorders/>
          </w:tcPr>
          <w:p>
            <w:pPr>
              <w:pStyle w:val="Normal"/>
              <w:keepNext w:val="true"/>
              <w:tabs>
                <w:tab w:val="clear" w:pos="720"/>
                <w:tab w:val="left" w:pos="5472" w:leader="none"/>
              </w:tabs>
              <w:jc w:val="both"/>
              <w:rPr>
                <w:rFonts w:ascii="Arial Narrow" w:hAnsi="Arial Narrow" w:cs="Arial Narrow"/>
                <w:sz w:val="18"/>
                <w:u w:val="single"/>
              </w:rPr>
            </w:pPr>
            <w:r>
              <w:rPr>
                <w:rFonts w:cs="Arial Narrow" w:ascii="Arial Narrow" w:hAnsi="Arial Narrow"/>
                <w:sz w:val="18"/>
                <w:u w:val="single"/>
              </w:rPr>
              <w:t>Notice to ENA</w:t>
            </w:r>
            <w:r>
              <w:rPr>
                <w:rFonts w:cs="Arial Narrow" w:ascii="Arial Narrow" w:hAnsi="Arial Narrow"/>
                <w:sz w:val="18"/>
              </w:rPr>
              <w: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Enron North America Corp.</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1400 Smith Street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Houston, Texas 77002</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Attn.:  Director, Documentation Department</w:t>
            </w:r>
          </w:p>
        </w:tc>
        <w:tc>
          <w:tcPr>
            <w:tcW w:w="4642" w:type="dxa"/>
            <w:gridSpan w:val="3"/>
            <w:tcBorders/>
          </w:tcPr>
          <w:p>
            <w:pPr>
              <w:pStyle w:val="Normal"/>
              <w:keepNext w:val="true"/>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Facsimile No. (713) 646-4816</w:t>
            </w:r>
          </w:p>
        </w:tc>
        <w:tc>
          <w:tcPr>
            <w:tcW w:w="4642" w:type="dxa"/>
            <w:gridSpan w:val="3"/>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keepNext w:val="true"/>
              <w:tabs>
                <w:tab w:val="clear" w:pos="720"/>
                <w:tab w:val="left" w:pos="5472" w:leader="none"/>
              </w:tabs>
              <w:snapToGrid w:val="false"/>
              <w:jc w:val="both"/>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u w:val="single"/>
              </w:rPr>
              <w:t>With a copy of any notice given pursuant to Section 5</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Corporate Secretary</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853-2534</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pPr>
            <w:r>
              <w:rPr>
                <w:rFonts w:cs="Arial Narrow" w:ascii="Arial Narrow" w:hAnsi="Arial Narrow"/>
                <w:sz w:val="18"/>
                <w:u w:val="single"/>
              </w:rPr>
              <w:t>and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Assistant General Counsel, Trading Group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646-4818</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48"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ENA</w:t>
            </w:r>
            <w:r>
              <w:rPr>
                <w:rFonts w:cs="Arial Narrow" w:ascii="Arial Narrow" w:hAnsi="Arial Narrow"/>
                <w:sz w:val="18"/>
              </w:rPr>
              <w:t>:</w:t>
            </w:r>
          </w:p>
        </w:tc>
        <w:tc>
          <w:tcPr>
            <w:tcW w:w="462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Counterparty</w:t>
            </w:r>
            <w:r>
              <w:rPr>
                <w:rFonts w:cs="Arial Narrow" w:ascii="Arial Narrow" w:hAnsi="Arial Narrow"/>
                <w:sz w:val="18"/>
              </w:rPr>
              <w:t>:</w:t>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(ABA Routing No. ______________________)</w:t>
            </w:r>
          </w:p>
        </w:tc>
        <w:tc>
          <w:tcPr>
            <w:tcW w:w="4626" w:type="dxa"/>
            <w:gridSpan w:val="2"/>
            <w:tcBorders/>
          </w:tcPr>
          <w:p>
            <w:pPr>
              <w:pStyle w:val="Normal"/>
              <w:keepNext w:val="true"/>
              <w:jc w:val="both"/>
              <w:rPr/>
            </w:pPr>
            <w:r>
              <w:rPr>
                <w:rFonts w:cs="Arial Narrow" w:ascii="Arial Narrow" w:hAnsi="Arial Narrow"/>
                <w:sz w:val="18"/>
              </w:rPr>
              <w:t xml:space="preserve">(ABA Routing No. </w:t>
            </w:r>
            <w:r>
              <w:rPr>
                <w:rFonts w:cs="Arial Narrow" w:ascii="Arial Narrow" w:hAnsi="Arial Narrow"/>
                <w:sz w:val="18"/>
                <w:u w:val="single"/>
              </w:rPr>
              <w:tab/>
              <w:tab/>
              <w:tab/>
              <w:tab/>
            </w:r>
            <w:r>
              <w:rPr>
                <w:rFonts w:cs="Arial Narrow" w:ascii="Arial Narrow" w:hAnsi="Arial Narrow"/>
                <w:sz w:val="18"/>
              </w:rPr>
              <w:t>)</w:t>
            </w:r>
          </w:p>
        </w:tc>
      </w:tr>
      <w:tr>
        <w:trPr/>
        <w:tc>
          <w:tcPr>
            <w:tcW w:w="5348"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462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ENA</w:t>
            </w:r>
            <w:r>
              <w:rPr>
                <w:rFonts w:cs="Arial Narrow" w:ascii="Arial Narrow" w:hAnsi="Arial Narrow"/>
                <w:sz w:val="18"/>
              </w:rPr>
              <w:t>:</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Counterparty</w:t>
            </w:r>
            <w:r>
              <w:rPr>
                <w:rFonts w:cs="Arial Narrow" w:ascii="Arial Narrow" w:hAnsi="Arial Narrow"/>
                <w:sz w:val="18"/>
              </w:rPr>
              <w:t>:</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P.O. Box 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77210-4428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Contract Settlement - Financial</w:t>
            </w:r>
          </w:p>
        </w:tc>
        <w:tc>
          <w:tcPr>
            <w:tcW w:w="4576" w:type="dxa"/>
            <w:gridSpan w:val="2"/>
            <w:tcBorders/>
          </w:tcPr>
          <w:p>
            <w:pPr>
              <w:pStyle w:val="Normal"/>
              <w:keepNext w:val="true"/>
              <w:jc w:val="both"/>
              <w:rPr/>
            </w:pPr>
            <w:r>
              <w:rPr>
                <w:rFonts w:cs="Arial Narrow" w:ascii="Arial Narrow" w:hAnsi="Arial Narrow"/>
                <w:sz w:val="18"/>
              </w:rPr>
              <w:t xml:space="preserve">Attn.: </w:t>
            </w: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646-4819</w:t>
            </w:r>
          </w:p>
        </w:tc>
        <w:tc>
          <w:tcPr>
            <w:tcW w:w="4576" w:type="dxa"/>
            <w:gridSpan w:val="2"/>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bl>
    <w:p>
      <w:pPr>
        <w:sectPr>
          <w:headerReference w:type="default" r:id="rId6"/>
          <w:headerReference w:type="first" r:id="rId7"/>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Pr>
    </w:p>
    <w:p>
      <w:pPr>
        <w:pStyle w:val="Normal"/>
        <w:keepNext w:val="true"/>
        <w:jc w:val="center"/>
        <w:rPr>
          <w:rFonts w:ascii="Arial Narrow" w:hAnsi="Arial Narrow" w:cs="Arial Narrow"/>
          <w:b/>
          <w:sz w:val="18"/>
        </w:rPr>
      </w:pPr>
      <w:r>
        <w:rPr>
          <w:rFonts w:cs="Arial Narrow" w:ascii="Arial Narrow" w:hAnsi="Arial Narrow"/>
          <w:b/>
          <w:sz w:val="18"/>
        </w:rPr>
        <w:t>ANNEX A</w:t>
        <w:br/>
      </w:r>
      <w:r>
        <w:rPr>
          <w:rFonts w:cs="Arial Narrow" w:ascii="Arial Narrow" w:hAnsi="Arial Narrow"/>
          <w:b/>
          <w:sz w:val="18"/>
          <w:u w:val="single"/>
        </w:rPr>
        <w:t>CREDIT SUPPORT ANNEX</w:t>
      </w:r>
    </w:p>
    <w:p>
      <w:pPr>
        <w:pStyle w:val="BodyTextIndent3"/>
        <w:rPr/>
      </w:pPr>
      <w:r>
        <w:rPr/>
        <w:t>This Credit Support Annex supplements, forms part of, and is incorporated into the Agreement (as defined in that certain Master Agreement to which this Annex is attached).  Capitalized terms used in this Annex but not defined herein shall have the meanings given such terms in the Master Agreement.</w:t>
      </w:r>
    </w:p>
    <w:p>
      <w:pPr>
        <w:pStyle w:val="Normal"/>
        <w:keepNext w:val="true"/>
        <w:spacing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Additional Amount</w:t>
      </w:r>
      <w:r>
        <w:rPr>
          <w:rFonts w:cs="Arial Narrow" w:ascii="Arial Narrow" w:hAnsi="Arial Narrow"/>
          <w:sz w:val="18"/>
        </w:rPr>
        <w:t>" shall mean, with respect to a party, the amount specified as such for that party in each Confirmation, or if no amount is specified, zero.</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Account</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shall have the meaning attributed to it in Section 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shall mean, with respect to a party or entity, on any date of determination, the respective rating then assigned to its unsecured and senior long-term debt or deposit obligations (not supported by third party credit enhancement) by S&amp;P, Moody's or the specified rating agency or agencies.</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shall mean the amount, as calculated by the Exposed Party in good faith and in a commercially reasonable manner, which a party to the Agreement would pay to or receive from a third party in an arm's-length transaction as consideration for the third party's entering into a new Transaction with such party to the Agreement in which:</w:t>
      </w:r>
    </w:p>
    <w:p>
      <w:pPr>
        <w:pStyle w:val="Normal"/>
        <w:ind w:firstLine="720" w:start="72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(a)  the party to the Agreement holds the same position as it currently holds in the outstanding Transaction;</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(b)  the third party holds the same position as the other party to the Agreement in the outstanding Transaction; and</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(c)  the new Transaction has economic and other terms and conditions identical in all respects to the terms and conditions of the outstanding Transaction, except that</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start="540" w:end="0"/>
        <w:jc w:val="both"/>
        <w:rPr>
          <w:rFonts w:ascii="Arial Narrow" w:hAnsi="Arial Narrow" w:cs="Arial Narrow"/>
          <w:sz w:val="18"/>
        </w:rPr>
      </w:pPr>
      <w:r>
        <w:rPr>
          <w:rFonts w:cs="Arial Narrow" w:ascii="Arial Narrow" w:hAnsi="Arial Narrow"/>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ind w:firstLine="180" w:start="540" w:end="0"/>
        <w:jc w:val="both"/>
        <w:rPr>
          <w:rFonts w:ascii="Arial Narrow" w:hAnsi="Arial Narrow" w:cs="Arial Narrow"/>
          <w:sz w:val="18"/>
        </w:rPr>
      </w:pPr>
      <w:r>
        <w:rPr>
          <w:rFonts w:cs="Arial Narrow" w:ascii="Arial Narrow" w:hAnsi="Arial Narrow"/>
          <w:sz w:val="18"/>
        </w:rPr>
      </w:r>
    </w:p>
    <w:p>
      <w:pPr>
        <w:pStyle w:val="Normal"/>
        <w:ind w:start="540" w:end="0"/>
        <w:jc w:val="both"/>
        <w:rPr>
          <w:rFonts w:ascii="Arial Narrow" w:hAnsi="Arial Narrow" w:cs="Arial Narrow"/>
          <w:sz w:val="18"/>
        </w:rPr>
      </w:pPr>
      <w:r>
        <w:rPr>
          <w:rFonts w:cs="Arial Narrow" w:ascii="Arial Narrow" w:hAnsi="Arial Narrow"/>
          <w:sz w:val="18"/>
        </w:rPr>
        <w:t>(ii)  the first Determination Period for the new Transaction shall end on the date that the then-current Determination Period, if any, for the outstanding Transaction would have ended.</w:t>
      </w:r>
    </w:p>
    <w:p>
      <w:pPr>
        <w:pStyle w:val="Normal"/>
        <w:ind w:start="540" w:end="0"/>
        <w:jc w:val="both"/>
        <w:rPr>
          <w:rFonts w:ascii="Arial Narrow" w:hAnsi="Arial Narrow" w:cs="Arial Narrow"/>
          <w:sz w:val="18"/>
        </w:rPr>
      </w:pPr>
      <w:r>
        <w:rPr>
          <w:rFonts w:cs="Arial Narrow" w:ascii="Arial Narrow" w:hAnsi="Arial Narrow"/>
          <w:sz w:val="18"/>
        </w:rPr>
      </w:r>
    </w:p>
    <w:p>
      <w:pPr>
        <w:pStyle w:val="BodyTextIndent2"/>
        <w:spacing w:before="0" w:after="0"/>
        <w:ind w:firstLine="360" w:start="0" w:end="0"/>
        <w:rPr/>
      </w:pPr>
      <w:r>
        <w:rPr/>
        <w:t>"</w:t>
      </w:r>
      <w:r>
        <w:rPr>
          <w:u w:val="single"/>
        </w:rPr>
        <w:t>Downgraded Party</w:t>
      </w:r>
      <w:r>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 the following items will qualify as "Eligible Collateral" for the party specified:</w:t>
      </w:r>
    </w:p>
    <w:tbl>
      <w:tblPr>
        <w:tblW w:w="4878" w:type="dxa"/>
        <w:jc w:val="start"/>
        <w:tblInd w:w="0" w:type="dxa"/>
        <w:tblLayout w:type="fixed"/>
        <w:tblCellMar>
          <w:top w:w="0" w:type="dxa"/>
          <w:start w:w="108" w:type="dxa"/>
          <w:bottom w:w="0" w:type="dxa"/>
          <w:end w:w="108" w:type="dxa"/>
        </w:tblCellMar>
      </w:tblPr>
      <w:tblGrid>
        <w:gridCol w:w="468"/>
        <w:gridCol w:w="810"/>
        <w:gridCol w:w="540"/>
        <w:gridCol w:w="1170"/>
        <w:gridCol w:w="1890"/>
      </w:tblGrid>
      <w:tr>
        <w:trPr/>
        <w:tc>
          <w:tcPr>
            <w:tcW w:w="468"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810" w:type="dxa"/>
            <w:tcBorders/>
          </w:tcPr>
          <w:p>
            <w:pPr>
              <w:pStyle w:val="Normal"/>
              <w:snapToGrid w:val="false"/>
              <w:spacing w:before="240" w:after="0"/>
              <w:jc w:val="both"/>
              <w:rPr>
                <w:rFonts w:ascii="Arial Narrow" w:hAnsi="Arial Narrow" w:cs="Arial Narrow"/>
                <w:sz w:val="18"/>
              </w:rPr>
            </w:pPr>
            <w:r>
              <w:rPr>
                <w:rFonts w:cs="Arial Narrow" w:ascii="Arial Narrow" w:hAnsi="Arial Narrow"/>
                <w:sz w:val="18"/>
              </w:rPr>
            </w:r>
          </w:p>
        </w:tc>
        <w:tc>
          <w:tcPr>
            <w:tcW w:w="540" w:type="dxa"/>
            <w:tcBorders/>
          </w:tcPr>
          <w:p>
            <w:pPr>
              <w:pStyle w:val="Normal"/>
              <w:spacing w:before="240" w:after="0"/>
              <w:jc w:val="both"/>
              <w:rPr>
                <w:rFonts w:ascii="Arial Narrow" w:hAnsi="Arial Narrow" w:cs="Arial Narrow"/>
                <w:b/>
                <w:sz w:val="18"/>
              </w:rPr>
            </w:pPr>
            <w:r>
              <w:rPr>
                <w:rFonts w:cs="Arial Narrow" w:ascii="Arial Narrow" w:hAnsi="Arial Narrow"/>
                <w:b/>
                <w:sz w:val="18"/>
              </w:rPr>
              <w:t>ENA</w:t>
            </w:r>
          </w:p>
        </w:tc>
        <w:tc>
          <w:tcPr>
            <w:tcW w:w="1170" w:type="dxa"/>
            <w:tcBorders/>
          </w:tcPr>
          <w:p>
            <w:pPr>
              <w:pStyle w:val="Normal"/>
              <w:spacing w:before="240" w:after="0"/>
              <w:jc w:val="both"/>
              <w:rPr>
                <w:rFonts w:ascii="Arial Narrow" w:hAnsi="Arial Narrow" w:cs="Arial Narrow"/>
                <w:b/>
                <w:sz w:val="18"/>
              </w:rPr>
            </w:pPr>
            <w:r>
              <w:rPr>
                <w:rFonts w:cs="Arial Narrow" w:ascii="Arial Narrow" w:hAnsi="Arial Narrow"/>
                <w:b/>
                <w:sz w:val="18"/>
              </w:rPr>
              <w:t>Counterparty</w:t>
            </w:r>
          </w:p>
        </w:tc>
        <w:tc>
          <w:tcPr>
            <w:tcW w:w="1890" w:type="dxa"/>
            <w:tcBorders/>
          </w:tcPr>
          <w:p>
            <w:pPr>
              <w:pStyle w:val="Heading3"/>
              <w:rPr>
                <w:rFonts w:ascii="Arial Narrow" w:hAnsi="Arial Narrow" w:cs="Arial Narrow"/>
                <w:sz w:val="18"/>
              </w:rPr>
            </w:pPr>
            <w:r>
              <w:rPr>
                <w:rFonts w:cs="Arial Narrow" w:ascii="Arial Narrow" w:hAnsi="Arial Narrow"/>
                <w:sz w:val="18"/>
              </w:rPr>
              <w:t>Valuation Percentage</w:t>
            </w:r>
          </w:p>
        </w:tc>
      </w:tr>
      <w:tr>
        <w:trPr/>
        <w:tc>
          <w:tcPr>
            <w:tcW w:w="468" w:type="dxa"/>
            <w:tcBorders/>
          </w:tcPr>
          <w:p>
            <w:pPr>
              <w:pStyle w:val="Normal"/>
              <w:spacing w:before="240" w:after="0"/>
              <w:jc w:val="both"/>
              <w:rPr>
                <w:rFonts w:ascii="Arial Narrow" w:hAnsi="Arial Narrow" w:cs="Arial Narrow"/>
                <w:sz w:val="18"/>
              </w:rPr>
            </w:pPr>
            <w:r>
              <w:rPr>
                <w:rFonts w:cs="Arial Narrow" w:ascii="Arial Narrow" w:hAnsi="Arial Narrow"/>
                <w:sz w:val="18"/>
              </w:rPr>
              <w:t>[(A)</w:t>
            </w:r>
          </w:p>
        </w:tc>
        <w:tc>
          <w:tcPr>
            <w:tcW w:w="810" w:type="dxa"/>
            <w:tcBorders/>
          </w:tcPr>
          <w:p>
            <w:pPr>
              <w:pStyle w:val="Normal"/>
              <w:spacing w:before="240" w:after="0"/>
              <w:jc w:val="both"/>
              <w:rPr>
                <w:rFonts w:ascii="Arial Narrow" w:hAnsi="Arial Narrow" w:cs="Arial Narrow"/>
                <w:sz w:val="18"/>
              </w:rPr>
            </w:pPr>
            <w:r>
              <w:rPr>
                <w:rFonts w:cs="Arial Narrow" w:ascii="Arial Narrow" w:hAnsi="Arial Narrow"/>
                <w:sz w:val="18"/>
              </w:rPr>
              <w:t>Cash</w:t>
            </w:r>
          </w:p>
        </w:tc>
        <w:tc>
          <w:tcPr>
            <w:tcW w:w="54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spacing w:before="240" w:after="0"/>
              <w:jc w:val="both"/>
              <w:rPr>
                <w:rFonts w:ascii="Arial Narrow" w:hAnsi="Arial Narrow" w:cs="Arial Narrow"/>
                <w:sz w:val="18"/>
              </w:rPr>
            </w:pPr>
            <w:r>
              <w:rPr>
                <w:rFonts w:cs="Arial Narrow" w:ascii="Arial Narrow" w:hAnsi="Arial Narrow"/>
                <w:sz w:val="18"/>
              </w:rPr>
              <w:t>100%</w:t>
            </w:r>
          </w:p>
        </w:tc>
      </w:tr>
      <w:tr>
        <w:trPr/>
        <w:tc>
          <w:tcPr>
            <w:tcW w:w="468" w:type="dxa"/>
            <w:tcBorders/>
          </w:tcPr>
          <w:p>
            <w:pPr>
              <w:pStyle w:val="Normal"/>
              <w:keepNext w:val="true"/>
              <w:spacing w:before="240" w:after="0"/>
              <w:jc w:val="both"/>
              <w:rPr>
                <w:rFonts w:ascii="Arial Narrow" w:hAnsi="Arial Narrow" w:cs="Arial Narrow"/>
                <w:sz w:val="18"/>
              </w:rPr>
            </w:pPr>
            <w:r>
              <w:rPr>
                <w:rFonts w:cs="Arial Narrow" w:ascii="Arial Narrow" w:hAnsi="Arial Narrow"/>
                <w:sz w:val="18"/>
              </w:rPr>
              <w:t>(B)</w:t>
            </w:r>
          </w:p>
        </w:tc>
        <w:tc>
          <w:tcPr>
            <w:tcW w:w="810" w:type="dxa"/>
            <w:tcBorders/>
          </w:tcPr>
          <w:p>
            <w:pPr>
              <w:pStyle w:val="Normal"/>
              <w:keepNext w:val="true"/>
              <w:spacing w:before="240" w:after="0"/>
              <w:jc w:val="both"/>
              <w:rPr>
                <w:rFonts w:ascii="Arial Narrow" w:hAnsi="Arial Narrow" w:cs="Arial Narrow"/>
                <w:sz w:val="18"/>
              </w:rPr>
            </w:pPr>
            <w:r>
              <w:rPr>
                <w:rFonts w:cs="Arial Narrow" w:ascii="Arial Narrow" w:hAnsi="Arial Narrow"/>
                <w:sz w:val="18"/>
              </w:rPr>
              <w:t>Letters of Credit</w:t>
            </w:r>
          </w:p>
        </w:tc>
        <w:tc>
          <w:tcPr>
            <w:tcW w:w="540" w:type="dxa"/>
            <w:tcBorders/>
          </w:tcPr>
          <w:p>
            <w:pPr>
              <w:pStyle w:val="Normal"/>
              <w:keepNext w:val="true"/>
              <w:spacing w:before="240" w:after="0"/>
              <w:jc w:val="center"/>
              <w:rPr>
                <w:rFonts w:ascii="Arial Narrow" w:hAnsi="Arial Narrow" w:cs="Arial Narrow"/>
                <w:sz w:val="18"/>
              </w:rPr>
            </w:pPr>
            <w:r>
              <w:rPr>
                <w:rFonts w:cs="Arial Narrow" w:ascii="Arial Narrow" w:hAnsi="Arial Narrow"/>
                <w:sz w:val="18"/>
              </w:rPr>
              <w:t>[X]</w:t>
            </w:r>
          </w:p>
        </w:tc>
        <w:tc>
          <w:tcPr>
            <w:tcW w:w="1170" w:type="dxa"/>
            <w:tcBorders/>
          </w:tcPr>
          <w:p>
            <w:pPr>
              <w:pStyle w:val="Normal"/>
              <w:keepNext w:val="true"/>
              <w:spacing w:before="240" w:after="0"/>
              <w:jc w:val="center"/>
              <w:rPr>
                <w:rFonts w:ascii="Arial Narrow" w:hAnsi="Arial Narrow" w:cs="Arial Narrow"/>
                <w:sz w:val="18"/>
              </w:rPr>
            </w:pPr>
            <w:r>
              <w:rPr>
                <w:rFonts w:cs="Arial Narrow" w:ascii="Arial Narrow" w:hAnsi="Arial Narrow"/>
                <w:sz w:val="18"/>
              </w:rPr>
              <w:t>[X]</w:t>
            </w:r>
          </w:p>
        </w:tc>
        <w:tc>
          <w:tcPr>
            <w:tcW w:w="1890" w:type="dxa"/>
            <w:tcBorders/>
          </w:tcPr>
          <w:p>
            <w:pPr>
              <w:pStyle w:val="Normal"/>
              <w:keepNext w:val="true"/>
              <w:spacing w:before="240" w:after="0"/>
              <w:jc w:val="both"/>
              <w:rPr>
                <w:rFonts w:ascii="Arial Narrow" w:hAnsi="Arial Narrow" w:cs="Arial Narrow"/>
                <w:sz w:val="18"/>
              </w:rPr>
            </w:pPr>
            <w:r>
              <w:rPr>
                <w:rFonts w:cs="Arial Narrow" w:ascii="Arial Narrow" w:hAnsi="Arial Narrow"/>
                <w:sz w:val="18"/>
              </w:rPr>
              <w:t>100% unless either (i) a Letter of Credit Default shall apply with respect to such Letter of Credit, or (ii) twenty (20) or fewer Business Days remain prior to the expiration of such Letter of Credit, in which case the Valuation Percentage shall be 0.]</w:t>
            </w:r>
          </w:p>
        </w:tc>
      </w:tr>
    </w:tbl>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shall mean (without duplication):</w:t>
      </w:r>
    </w:p>
    <w:p>
      <w:pPr>
        <w:pStyle w:val="Normal"/>
        <w:ind w:firstLine="720" w:start="72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(a)  in respect of a Transaction for which a payment pursuant to the Agreement has been determined and is due and owing but not yet paid, the amount of such payment, with the party due and owed such amount having Exposure to the other party in such amount; and</w:t>
      </w:r>
    </w:p>
    <w:p>
      <w:pPr>
        <w:pStyle w:val="Normal"/>
        <w:ind w:firstLine="180" w:start="360" w:end="0"/>
        <w:jc w:val="both"/>
        <w:rPr>
          <w:rFonts w:ascii="Arial Narrow" w:hAnsi="Arial Narrow" w:cs="Arial Narrow"/>
          <w:sz w:val="18"/>
        </w:rPr>
      </w:pPr>
      <w:r>
        <w:rPr>
          <w:rFonts w:cs="Arial Narrow" w:ascii="Arial Narrow" w:hAnsi="Arial Narrow"/>
          <w:sz w:val="18"/>
        </w:rPr>
      </w:r>
    </w:p>
    <w:p>
      <w:pPr>
        <w:pStyle w:val="Normal"/>
        <w:ind w:firstLine="180" w:start="360" w:end="0"/>
        <w:jc w:val="both"/>
        <w:rPr>
          <w:rFonts w:ascii="Arial Narrow" w:hAnsi="Arial Narrow" w:cs="Arial Narrow"/>
          <w:sz w:val="18"/>
        </w:rPr>
      </w:pPr>
      <w:r>
        <w:rPr>
          <w:rFonts w:cs="Arial Narrow" w:ascii="Arial Narrow" w:hAnsi="Arial Narrow"/>
          <w:sz w:val="18"/>
        </w:rPr>
        <w:t>(b)  the Current Value of a Transaction, with the party that would be due and owed such amount from the other party having Exposure to the other party in such amount.</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xml:space="preserve">" shall mean, with respect to ENA, $___________, and with respect to Counterparty, $__________; </w:t>
      </w:r>
      <w:r>
        <w:rPr>
          <w:rFonts w:cs="Arial Narrow" w:ascii="Arial Narrow" w:hAnsi="Arial Narrow"/>
          <w:sz w:val="18"/>
          <w:u w:val="single"/>
        </w:rPr>
        <w:t>provided, however</w:t>
      </w:r>
      <w:r>
        <w:rPr>
          <w:rFonts w:cs="Arial Narrow" w:ascii="Arial Narrow" w:hAnsi="Arial Narrow"/>
          <w:sz w:val="18"/>
        </w:rPr>
        <w:t>, that the Exposure Threshold for a party shall be zero upon the occurrence and during the continuance of an Event of Default or a Potential Event of Default or a Material Adverse Change with respect to such party.</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Federal Funds Overnight Rate</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Amount</w:t>
      </w:r>
      <w:r>
        <w:rPr>
          <w:rFonts w:cs="Arial Narrow" w:ascii="Arial Narrow" w:hAnsi="Arial Narrow"/>
          <w:sz w:val="18"/>
        </w:rPr>
        <w:t>" shall have the meaning attributed to it in Section VII(c).</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Interest Period</w:t>
      </w:r>
      <w:r>
        <w:rPr>
          <w:rFonts w:cs="Arial Narrow" w:ascii="Arial Narrow" w:hAnsi="Arial Narrow"/>
          <w:sz w:val="18"/>
        </w:rPr>
        <w:t>" shall have the meaning attributed to it in Section VII(c).</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shall mean an irrevocable, transferable, standby letter of credit, issued by a major U.S. commercial bank or a foreign bank with a U.S. branch office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the party in whose favor the letter of credit is issued.</w:t>
      </w:r>
    </w:p>
    <w:p>
      <w:pPr>
        <w:pStyle w:val="Normal"/>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5(d) of the Master Agreement shall occur with respect to the issuer of such Letter of Credit;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means _________________________.</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shall mean Moody's Investors Services, Inc. or its successor.</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shall have the meaning attributed to it in Section II(a).</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shall mean an event that would constitute an Event of Default with the lapse of time or giving of notice or both.</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Qualified Institution</w:t>
      </w:r>
      <w:r>
        <w:rPr>
          <w:rFonts w:cs="Arial Narrow" w:ascii="Arial Narrow" w:hAnsi="Arial Narrow"/>
          <w:sz w:val="18"/>
        </w:rPr>
        <w:t>" shall have the meaning attributed to it in Section VII(b).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shall mean the Standard &amp; Poor's Rating Group (a division of McGraw-Hill, Inc.) or its successor.</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Substitute Performance Assurance</w:t>
      </w:r>
      <w:r>
        <w:rPr>
          <w:rFonts w:cs="Arial Narrow" w:ascii="Arial Narrow" w:hAnsi="Arial Narrow"/>
          <w:sz w:val="18"/>
        </w:rPr>
        <w:t>" shall have the meaning attributed to it in Section X(b).</w:t>
      </w:r>
    </w:p>
    <w:p>
      <w:pPr>
        <w:pStyle w:val="Normal"/>
        <w:spacing w:before="240" w:after="0"/>
        <w:ind w:firstLine="360" w:end="0"/>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the Exposed Party, the Non-Exposed Party or the Requesting Party, as applicable:</w:t>
      </w:r>
    </w:p>
    <w:p>
      <w:pPr>
        <w:pStyle w:val="Normal"/>
        <w:spacing w:before="240" w:after="0"/>
        <w:ind w:start="360" w:end="0"/>
        <w:jc w:val="both"/>
        <w:rPr>
          <w:rFonts w:ascii="Arial Narrow" w:hAnsi="Arial Narrow" w:cs="Arial Narrow"/>
          <w:sz w:val="18"/>
        </w:rPr>
      </w:pPr>
      <w:r>
        <w:rPr>
          <w:rFonts w:cs="Arial Narrow" w:ascii="Arial Narrow" w:hAnsi="Arial Narrow"/>
          <w:sz w:val="18"/>
        </w:rPr>
        <w:t>(i) in the case of Cash, payment or delivery by wire transfer into one or more bank accounts specified by the recipient; and</w:t>
      </w:r>
    </w:p>
    <w:p>
      <w:pPr>
        <w:pStyle w:val="Normal"/>
        <w:spacing w:before="240" w:after="0"/>
        <w:ind w:start="360" w:end="0"/>
        <w:jc w:val="both"/>
        <w:rPr>
          <w:rFonts w:ascii="Arial Narrow" w:hAnsi="Arial Narrow" w:cs="Arial Narrow"/>
          <w:sz w:val="18"/>
        </w:rPr>
      </w:pPr>
      <w:r>
        <w:rPr>
          <w:rFonts w:cs="Arial Narrow" w:ascii="Arial Narrow" w:hAnsi="Arial Narrow"/>
          <w:sz w:val="18"/>
        </w:rPr>
        <w:t>(ii) in the case of Letters of Credit, delivery of the Letter of Credit or an amendment thereto to the recipient.</w:t>
      </w:r>
    </w:p>
    <w:p>
      <w:pPr>
        <w:pStyle w:val="BodyTextIndent2"/>
        <w:ind w:firstLine="360" w:start="0" w:end="0"/>
        <w:rPr/>
      </w:pPr>
      <w:r>
        <w:rPr/>
        <w:t>"</w:t>
      </w:r>
      <w:r>
        <w:rPr>
          <w:u w:val="single"/>
        </w:rPr>
        <w:t>Value</w:t>
      </w:r>
      <w:r>
        <w:rPr/>
        <w:t>" shall mean (a) with respect to Cash, the face amount thereof; and (b) with respect to Letters of Credit, the Valuation Percentage times the stated amount then available under the Letter of Credit to be unconditionally drawn by the Exposed Party.</w:t>
      </w:r>
    </w:p>
    <w:p>
      <w:pPr>
        <w:pStyle w:val="Normal"/>
        <w:spacing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(a)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Normal"/>
        <w:spacing w:before="240" w:after="0"/>
        <w:ind w:firstLine="360" w:end="0"/>
        <w:jc w:val="both"/>
        <w:rPr/>
      </w:pPr>
      <w:r>
        <w:rPr>
          <w:rFonts w:cs="Arial Narrow" w:ascii="Arial Narrow" w:hAnsi="Arial Narrow"/>
          <w:sz w:val="18"/>
        </w:rPr>
        <w:t>(b)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(A) the sum of (i) the Exposed Party's Net Exposure plus (ii) the aggregate of all Additional Amounts applicable to the Non-Exposed Party minus the sum of (B):</w:t>
      </w:r>
    </w:p>
    <w:p>
      <w:pPr>
        <w:pStyle w:val="Normal"/>
        <w:tabs>
          <w:tab w:val="clear" w:pos="720"/>
          <w:tab w:val="left" w:pos="2160" w:leader="none"/>
        </w:tabs>
        <w:spacing w:before="240" w:after="0"/>
        <w:ind w:firstLine="180" w:start="360" w:end="0"/>
        <w:jc w:val="both"/>
        <w:rPr>
          <w:rFonts w:ascii="Arial Narrow" w:hAnsi="Arial Narrow" w:cs="Arial Narrow"/>
          <w:sz w:val="18"/>
        </w:rPr>
      </w:pPr>
      <w:r>
        <w:rPr>
          <w:rFonts w:cs="Arial Narrow" w:ascii="Arial Narrow" w:hAnsi="Arial Narrow"/>
          <w:sz w:val="18"/>
        </w:rPr>
        <w:t>(i) the Non-Exposed Party's Exposure Threshold; plus</w:t>
      </w:r>
    </w:p>
    <w:p>
      <w:pPr>
        <w:pStyle w:val="Normal"/>
        <w:tabs>
          <w:tab w:val="clear" w:pos="720"/>
          <w:tab w:val="left" w:pos="2160" w:leader="none"/>
        </w:tabs>
        <w:spacing w:before="240" w:after="0"/>
        <w:ind w:start="540" w:end="0"/>
        <w:jc w:val="both"/>
        <w:rPr>
          <w:rFonts w:ascii="Arial Narrow" w:hAnsi="Arial Narrow" w:cs="Arial Narrow"/>
          <w:sz w:val="18"/>
        </w:rPr>
      </w:pPr>
      <w:r>
        <w:rPr>
          <w:rFonts w:cs="Arial Narrow" w:ascii="Arial Narrow" w:hAnsi="Arial Narrow"/>
          <w:sz w:val="18"/>
        </w:rPr>
        <w:t>(ii) the amount of Cash previously Transferred by the Non-Exposed Party, the amount of Cash held by the Exposed Party as a result of drawing under any Letter of Credit, and any Interest Amount that has not yet been Transferred to the Non-Exposed Party; plus</w:t>
      </w:r>
    </w:p>
    <w:p>
      <w:pPr>
        <w:pStyle w:val="Normal"/>
        <w:tabs>
          <w:tab w:val="clear" w:pos="720"/>
          <w:tab w:val="left" w:pos="2160" w:leader="none"/>
        </w:tabs>
        <w:spacing w:before="240" w:after="0"/>
        <w:ind w:start="540" w:end="0"/>
        <w:jc w:val="both"/>
        <w:rPr>
          <w:rFonts w:ascii="Arial Narrow" w:hAnsi="Arial Narrow" w:cs="Arial Narrow"/>
          <w:sz w:val="18"/>
        </w:rPr>
      </w:pPr>
      <w:r>
        <w:rPr>
          <w:rFonts w:cs="Arial Narrow" w:ascii="Arial Narrow" w:hAnsi="Arial Narrow"/>
          <w:sz w:val="18"/>
        </w:rPr>
        <w:t>(iii) the Value of each Letter of Credit maintained by the Non-Exposed Party for the benefit of the Exposed Party.</w:t>
      </w:r>
    </w:p>
    <w:p>
      <w:pPr>
        <w:pStyle w:val="Normal"/>
        <w:spacing w:before="240" w:after="0"/>
        <w:jc w:val="both"/>
        <w:rPr/>
      </w:pPr>
      <w:r>
        <w:rPr>
          <w:rFonts w:cs="Arial Narrow" w:ascii="Arial Narrow" w:hAnsi="Arial Narrow"/>
          <w:sz w:val="18"/>
        </w:rPr>
        <w:t xml:space="preserve">III.  </w:t>
      </w:r>
      <w:r>
        <w:rPr>
          <w:rFonts w:cs="Arial Narrow" w:ascii="Arial Narrow" w:hAnsi="Arial Narrow"/>
          <w:sz w:val="18"/>
          <w:u w:val="single"/>
        </w:rPr>
        <w:t>Performance Assurance</w:t>
      </w:r>
      <w:r>
        <w:rPr>
          <w:rFonts w:cs="Arial Narrow" w:ascii="Arial Narrow" w:hAnsi="Arial Narrow"/>
          <w:sz w:val="18"/>
        </w:rPr>
        <w:t>.  (a)  If, on any Business Day, a Non-Exposed Party's Collateral Requirement shall exceed One Dollar ($1.00) and provided that (i) no Event of Default or Potential Event of Default or Accelerated Termination Date as a result of an Event of Change with respect to the Exposed Party shall have occurred and be continuing and (ii) no Early Termination Date or Accelerated Termination Date has occurred or been designated as a result of an Event of Default or an Event of Change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$___________.</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or Accelerated Termination Date as a result of an Event of Change with respect to the Requesting Party shall have occurred and be continuing; and (iv)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before="240" w:after="0"/>
        <w:jc w:val="both"/>
        <w:rPr/>
      </w:pPr>
      <w:r>
        <w:rPr>
          <w:rFonts w:cs="Arial Narrow" w:ascii="Arial Narrow" w:hAnsi="Arial Narrow"/>
          <w:sz w:val="18"/>
        </w:rPr>
        <w:t xml:space="preserve">IV.  </w:t>
      </w:r>
      <w:r>
        <w:rPr>
          <w:rFonts w:cs="Arial Narrow" w:ascii="Arial Narrow" w:hAnsi="Arial Narrow"/>
          <w:sz w:val="18"/>
          <w:u w:val="single"/>
        </w:rPr>
        <w:t>Delivery</w:t>
      </w:r>
      <w:r>
        <w:rPr>
          <w:rFonts w:cs="Arial Narrow" w:ascii="Arial Narrow" w:hAnsi="Arial Narrow"/>
          <w:sz w:val="18"/>
        </w:rPr>
        <w:t>.  Unless otherwise agreed in writing by the parties, Performance Assurance demanded of a Non-Exposed Party by 10:00 a.m., New York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before="240" w:after="0"/>
        <w:jc w:val="both"/>
        <w:rPr/>
      </w:pPr>
      <w:r>
        <w:rPr>
          <w:rFonts w:cs="Arial Narrow" w:ascii="Arial Narrow" w:hAnsi="Arial Narrow"/>
          <w:sz w:val="18"/>
        </w:rPr>
        <w:t xml:space="preserve">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the Requesting Party’s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spacing w:before="240" w:after="0"/>
        <w:jc w:val="both"/>
        <w:rPr/>
      </w:pPr>
      <w:r>
        <w:rPr>
          <w:rFonts w:cs="Arial Narrow" w:ascii="Arial Narrow" w:hAnsi="Arial Narrow"/>
          <w:sz w:val="18"/>
        </w:rPr>
        <w:t xml:space="preserve">VI.  </w:t>
      </w:r>
      <w:r>
        <w:rPr>
          <w:rFonts w:cs="Arial Narrow" w:ascii="Arial Narrow" w:hAnsi="Arial Narrow"/>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spacing w:before="240" w:after="0"/>
        <w:ind w:firstLine="360" w:end="0"/>
        <w:jc w:val="both"/>
        <w:rPr>
          <w:rFonts w:ascii="Arial Narrow" w:hAnsi="Arial Narrow" w:cs="Arial Narrow"/>
          <w:sz w:val="18"/>
        </w:rPr>
      </w:pPr>
      <w:r>
        <w:rPr>
          <w:rFonts w:cs="Arial Narrow" w:ascii="Arial Narrow" w:hAnsi="Arial Narrow"/>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spacing w:before="240" w:after="0"/>
        <w:ind w:firstLine="360" w:end="0"/>
        <w:jc w:val="both"/>
        <w:rPr>
          <w:rFonts w:ascii="Arial Narrow" w:hAnsi="Arial Narrow" w:cs="Arial Narrow"/>
          <w:sz w:val="18"/>
        </w:rPr>
      </w:pPr>
      <w:r>
        <w:rPr>
          <w:rFonts w:cs="Arial Narrow" w:ascii="Arial Narrow" w:hAnsi="Arial Narrow"/>
          <w:sz w:val="18"/>
        </w:rPr>
        <w:t>(b)  As one method of providing Performance Assurance, the Non-Exposed Party may increase the amount of an outstanding Letter of Credit or establish one or more additional Letters of Credit.</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Master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cs="Arial Narrow" w:ascii="Arial Narrow" w:hAnsi="Arial Narrow"/>
          <w:sz w:val="18"/>
        </w:rPr>
        <w:t>(d)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before="240" w:after="0"/>
        <w:ind w:firstLine="360" w:end="0"/>
        <w:jc w:val="both"/>
        <w:rPr>
          <w:rFonts w:ascii="Arial Narrow" w:hAnsi="Arial Narrow" w:cs="Arial Narrow"/>
          <w:sz w:val="18"/>
        </w:rPr>
      </w:pPr>
      <w:r>
        <w:rPr>
          <w:rFonts w:cs="Arial Narrow" w:ascii="Arial Narrow" w:hAnsi="Arial Narrow"/>
          <w:sz w:val="18"/>
        </w:rPr>
        <w:t>(e)  A Non-Exposed Party may substitute a Letter of Credit for one or more other outstanding Letter(s) of Credit issued for the benefit of the Exposed Party, provided that the Value of such substitute Letter of Credit shall be at least equal to the Value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ind w:firstLine="144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(f)  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rFonts w:ascii="Arial Narrow" w:hAnsi="Arial Narrow" w:cs="Arial Narrow"/>
          <w:sz w:val="18"/>
        </w:rPr>
      </w:pPr>
      <w:r>
        <w:rPr>
          <w:rFonts w:cs="Arial Narrow" w:ascii="Arial Narrow" w:hAnsi="Arial Narrow"/>
          <w:sz w:val="18"/>
        </w:rPr>
        <w:t>(g)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before="240" w:after="0"/>
        <w:jc w:val="both"/>
        <w:rPr/>
      </w:pPr>
      <w:r>
        <w:rPr>
          <w:rFonts w:cs="Arial Narrow" w:ascii="Arial Narrow" w:hAnsi="Arial Narrow"/>
          <w:sz w:val="18"/>
        </w:rPr>
        <w:t xml:space="preserve">VII.  </w:t>
      </w:r>
      <w:r>
        <w:rPr>
          <w:rFonts w:cs="Arial Narrow" w:ascii="Arial Narrow" w:hAnsi="Arial Narrow"/>
          <w:sz w:val="18"/>
          <w:u w:val="single"/>
        </w:rPr>
        <w:t>Cash</w:t>
      </w:r>
      <w:r>
        <w:rPr>
          <w:rFonts w:cs="Arial Narrow" w:ascii="Arial Narrow" w:hAnsi="Arial Narrow"/>
          <w:sz w:val="18"/>
        </w:rPr>
        <w:t>.  Performance Assurance provided in the form of Cash shall be subject to the following provisions.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Eligibility to Hold Cash</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(i) if ENA is the Exposed Party, ENA will be entitled to hold Cash or to appoint an agent (a "Custodian") to hold Cash for it provided that the following conditions are satisfied:  (1) it is not a Defaulting Party, (2), Enron Corp. has a Credit Rating from S&amp;P and the lowest Credit Rating for Enron Corp. is "BBB-" or higher by S&amp;P</w:t>
      </w:r>
      <w:r>
        <w:rPr>
          <w:rFonts w:cs="Arial Narrow" w:ascii="Arial Narrow" w:hAnsi="Arial Narrow"/>
          <w:color w:val="000000"/>
          <w:sz w:val="18"/>
        </w:rPr>
        <w:t>; and</w:t>
      </w:r>
      <w:r>
        <w:rPr>
          <w:rFonts w:cs="Arial Narrow" w:ascii="Arial Narrow" w:hAnsi="Arial Narrow"/>
          <w:sz w:val="18"/>
        </w:rPr>
        <w:t xml:space="preserve"> (3) Cash shall be held only in any jurisdiction within the United States.</w:t>
      </w:r>
    </w:p>
    <w:p>
      <w:pPr>
        <w:pStyle w:val="Normal"/>
        <w:spacing w:before="240" w:after="0"/>
        <w:ind w:firstLine="360" w:end="0"/>
        <w:jc w:val="both"/>
        <w:rPr/>
      </w:pPr>
      <w:r>
        <w:rPr>
          <w:rFonts w:cs="Arial Narrow" w:ascii="Arial Narrow" w:hAnsi="Arial Narrow"/>
          <w:sz w:val="18"/>
        </w:rPr>
        <w:t>(ii) if Counterparty is the Exposed Party, Counterparty will be entitled to hold Cash or to appoint a Custodian to hold Cash for it provided the following conditions are satisfied:  (1) it is not a Defaulting Party, (2) [</w:t>
      </w:r>
      <w:r>
        <w:rPr>
          <w:rFonts w:cs="Arial Narrow" w:ascii="Arial Narrow" w:hAnsi="Arial Narrow"/>
          <w:sz w:val="18"/>
          <w:u w:val="single"/>
        </w:rPr>
        <w:t>insert appropriate threshold level</w:t>
      </w:r>
      <w:r>
        <w:rPr>
          <w:rFonts w:cs="Arial Narrow" w:ascii="Arial Narrow" w:hAnsi="Arial Narrow"/>
          <w:sz w:val="18"/>
        </w:rPr>
        <w:t>]</w:t>
      </w:r>
      <w:r>
        <w:rPr>
          <w:rFonts w:cs="Arial Narrow" w:ascii="Arial Narrow" w:hAnsi="Arial Narrow"/>
          <w:color w:val="000000"/>
          <w:sz w:val="18"/>
        </w:rPr>
        <w:t xml:space="preserve">, and </w:t>
      </w:r>
      <w:r>
        <w:rPr>
          <w:rFonts w:cs="Arial Narrow" w:ascii="Arial Narrow" w:hAnsi="Arial Narrow"/>
          <w:sz w:val="18"/>
        </w:rPr>
        <w:t>(3) Cash shall be held only in any jurisdiction within the United States.</w:t>
      </w:r>
    </w:p>
    <w:p>
      <w:pPr>
        <w:pStyle w:val="BodyText"/>
        <w:rPr>
          <w:sz w:val="18"/>
        </w:rPr>
      </w:pPr>
      <w:r>
        <w:rPr>
          <w:sz w:val="18"/>
        </w:rPr>
        <w:t>Upon notice by the Exposed Party to the Non-Exposed Party of the appointment of a Custodian, the Non-Exposed Party's obligations to make any Transfer will be discharged by making the Transfer to that Custodian.  The holding of Cash by a Custodian will be deemed to be the holding of Cash by the Exposed Party for which the Custodian is acting.  If the Exposed Party fails to satisfy any conditions for holding Cash as set forth above, then the Exposed Party will Transfer or cause the Custodian to Transfer the Cash to a Qualified Institution (as defined herein) and the Cash shall be maintained in accordance with Sections VII(b) and (c), with the party not eligible to hold Cash being considered the "Downgraded Party" (as defined in Section VII(b)).  The Exposed Party will be liable for the acts or omissions of its Custodian to the same extent that the Exposed Party would be liable hereunder for its own acts or omissions.</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Use of Cash</w:t>
      </w:r>
      <w:r>
        <w:rPr>
          <w:rFonts w:cs="Arial Narrow" w:ascii="Arial Narrow" w:hAnsi="Arial Narrow"/>
          <w:sz w:val="18"/>
        </w:rPr>
        <w:t xml:space="preserve">.  Notwithstanding the provisions of applicable law, if the Exposed Party is not a Defaulting Party, no Event of Change has occurred with respect to the Exposed Party and no Early Termination Date or Accelerated Termination Date has occurred or been designated as a result of an Event of Default or an Event of Change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rFonts w:cs="Arial Narrow" w:ascii="Arial Narrow" w:hAnsi="Arial Narrow"/>
          <w:sz w:val="18"/>
          <w:u w:val="single"/>
        </w:rPr>
        <w:t>provided, however</w:t>
      </w:r>
      <w:r>
        <w:rPr>
          <w:rFonts w:cs="Arial Narrow" w:ascii="Arial Narrow" w:hAnsi="Arial Narrow"/>
          <w:sz w:val="18"/>
        </w:rPr>
        <w:t>, that if a party is not eligible to hold Cash pursuant to Section VII(a) (such party shall be the "Downgraded Party" and the event that caused it to be ineligible to hold Cash shall be a "Credit Rating Event") then:</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provisions of this Section VII(b) will not apply with respect to the Downgraded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Downgraded Party shall be required to deliver (or cause to be delivered) not later than the close of business on the second Business Day following such Credit Rating Event all Cash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Annex and for the security interest of the Downgraded Party and, subject to such security interest, for the ownership of the non-Downgraded Party.</w:t>
      </w:r>
    </w:p>
    <w:p>
      <w:pPr>
        <w:pStyle w:val="Normal"/>
        <w:spacing w:before="240" w:after="0"/>
        <w:ind w:firstLine="180" w:start="180" w:end="0"/>
        <w:jc w:val="both"/>
        <w:rPr/>
      </w:pPr>
      <w:r>
        <w:rPr>
          <w:rFonts w:cs="Arial Narrow" w:ascii="Arial Narrow" w:hAnsi="Arial Narrow"/>
          <w:sz w:val="18"/>
        </w:rPr>
        <w:t xml:space="preserve">(c)  </w:t>
      </w:r>
      <w:r>
        <w:rPr>
          <w:rFonts w:cs="Arial Narrow" w:ascii="Arial Narrow" w:hAnsi="Arial Narrow"/>
          <w:sz w:val="18"/>
          <w:u w:val="single"/>
        </w:rPr>
        <w:t>Interest Payments on Cash</w:t>
      </w:r>
      <w:r>
        <w:rPr>
          <w:rFonts w:cs="Arial Narrow" w:ascii="Arial Narrow" w:hAnsi="Arial Narrow"/>
          <w:sz w:val="18"/>
        </w:rPr>
        <w:t>.  (i) Subject to the provisions of Section VII(c)(ii) below and so long as no Event of Default, Potential Event of Default or Event of Change with respect to the Non-Exposed Party has occurred and is continuing, and no Early Termination Date or Accelerated Termination Date for which any unsatisfied payment obligations of the Non-Exposed Party exist has occurred or been designated as the result of an Event of Default or an Event of Change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(as defined below) on the last Business Day of each calendar month.  On or after the occurrence of an Event of Default or an Event of Change with respect to the Non-Exposed Party or an Early Termination Date or Accelerated Termination Date as a result of an Event of Default or an Event of Change with respect to the Non-Exposed Party, the Exposed Party shall retain any such Interest Amount as additional Eligible Collateral hereunder until the obligations of the Non-Exposed Party under the Agreement have been satisfied.</w:t>
      </w:r>
    </w:p>
    <w:p>
      <w:pPr>
        <w:pStyle w:val="Normal"/>
        <w:spacing w:before="240" w:after="0"/>
        <w:ind w:firstLine="180" w:start="180" w:end="0"/>
        <w:jc w:val="both"/>
        <w:rPr>
          <w:rFonts w:ascii="Arial Narrow" w:hAnsi="Arial Narrow" w:cs="Arial Narrow"/>
          <w:sz w:val="18"/>
        </w:rPr>
      </w:pPr>
      <w:r>
        <w:rPr>
          <w:rFonts w:cs="Arial Narrow" w:ascii="Arial Narrow" w:hAnsi="Arial Narrow"/>
          <w:sz w:val="18"/>
        </w:rPr>
        <w:t>The term "Interest Amount"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start="180" w:end="0"/>
        <w:jc w:val="both"/>
        <w:rPr>
          <w:rFonts w:ascii="Arial Narrow" w:hAnsi="Arial Narrow" w:cs="Arial Narrow"/>
          <w:sz w:val="18"/>
        </w:rPr>
      </w:pPr>
      <w:r>
        <w:rPr>
          <w:rFonts w:cs="Arial Narrow" w:ascii="Arial Narrow" w:hAnsi="Arial Narrow"/>
          <w:sz w:val="18"/>
        </w:rPr>
        <w:t>(ii) If in accordance with the provisions of Section VII(b), a party is not permitted to use Cash either as a result of a Credit Rating Event or otherwise, the provisions of Section VII(c)(i) will not apply with respect to Cash and the investment of Cash shall be governed as follows:</w:t>
      </w:r>
    </w:p>
    <w:p>
      <w:pPr>
        <w:pStyle w:val="Normal"/>
        <w:spacing w:before="240" w:after="0"/>
        <w:ind w:firstLine="270" w:start="360" w:end="0"/>
        <w:jc w:val="both"/>
        <w:rPr>
          <w:rFonts w:ascii="Arial Narrow" w:hAnsi="Arial Narrow" w:cs="Arial Narrow"/>
          <w:sz w:val="18"/>
        </w:rPr>
      </w:pPr>
      <w:r>
        <w:rPr>
          <w:rFonts w:cs="Arial Narrow" w:ascii="Arial Narrow" w:hAnsi="Arial Narrow"/>
          <w:sz w:val="18"/>
        </w:rPr>
        <w:t>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Potential Event of Default or Accelerated Termination Date as a result of an Event of Change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before="240" w:after="0"/>
        <w:ind w:firstLine="360" w:end="0"/>
        <w:jc w:val="both"/>
        <w:rPr/>
      </w:pPr>
      <w:r>
        <w:rPr>
          <w:rFonts w:cs="Arial Narrow" w:ascii="Arial Narrow" w:hAnsi="Arial Narrow"/>
          <w:sz w:val="18"/>
        </w:rPr>
        <w:t xml:space="preserve">(d)  </w:t>
      </w:r>
      <w:r>
        <w:rPr>
          <w:rFonts w:cs="Arial Narrow" w:ascii="Arial Narrow" w:hAnsi="Arial Narrow"/>
          <w:sz w:val="18"/>
          <w:u w:val="single"/>
        </w:rPr>
        <w:t>Care of Cash</w:t>
      </w:r>
      <w:r>
        <w:rPr>
          <w:rFonts w:cs="Arial Narrow" w:ascii="Arial Narrow" w:hAnsi="Arial Narrow"/>
          <w:sz w:val="18"/>
        </w:rPr>
        <w:t>.  Without limiting the Exposed Party's rights under Paragraph VII(b), the Exposed Party will exercise reasonable care to assure the safe custody of all Cash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 including, without limitation, any duty to enforce or preserve any rights pertaining thereto.</w:t>
      </w:r>
    </w:p>
    <w:p>
      <w:pPr>
        <w:pStyle w:val="Normal"/>
        <w:spacing w:before="240" w:after="0"/>
        <w:jc w:val="both"/>
        <w:rPr/>
      </w:pPr>
      <w:r>
        <w:rPr>
          <w:rFonts w:cs="Arial Narrow" w:ascii="Arial Narrow" w:hAnsi="Arial Narrow"/>
          <w:sz w:val="18"/>
        </w:rPr>
        <w:t xml:space="preserve">VIII.  </w:t>
      </w:r>
      <w:r>
        <w:rPr>
          <w:rFonts w:cs="Arial Narrow" w:ascii="Arial Narrow" w:hAnsi="Arial Narrow"/>
          <w:sz w:val="18"/>
          <w:u w:val="single"/>
        </w:rPr>
        <w:t>Representations</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before="240" w:after="0"/>
        <w:jc w:val="both"/>
        <w:rPr>
          <w:rFonts w:ascii="Arial Narrow" w:hAnsi="Arial Narrow" w:cs="Arial Narrow"/>
          <w:sz w:val="18"/>
        </w:rPr>
      </w:pPr>
      <w:r>
        <w:rPr>
          <w:rFonts w:cs="Arial Narrow" w:ascii="Arial Narrow" w:hAnsi="Arial Narrow"/>
          <w:sz w:val="18"/>
        </w:rPr>
        <w:t xml:space="preserve">IX.  </w:t>
      </w:r>
      <w:r>
        <w:rPr>
          <w:rFonts w:cs="Arial Narrow" w:ascii="Arial Narrow" w:hAnsi="Arial Narrow"/>
          <w:sz w:val="18"/>
          <w:u w:val="single"/>
        </w:rPr>
        <w:t>Certain Rights and Remedies.</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Exposed Party's Rights and Remedies</w:t>
      </w:r>
      <w:r>
        <w:rPr>
          <w:rFonts w:cs="Arial Narrow" w:ascii="Arial Narrow" w:hAnsi="Arial Narrow"/>
          <w:sz w:val="18"/>
        </w:rPr>
        <w:t>.  If at any time (i) an Event of Default or Event of Change with respect to the Non-Exposed Party has occurred and is continuing or (ii) an Early Termination Date or Accelerated Termination Date has occurred or been designated as a result of an Event of Default or an Event of Change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Non-Exposed 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the Exposed Party, then, unless the Accelerated Termination Date relates to less than all Transactions where the Exposed Party has made all payments due and owing to the Non-Exposed Party:</w:t>
      </w:r>
    </w:p>
    <w:p>
      <w:pPr>
        <w:pStyle w:val="Normal"/>
        <w:spacing w:before="240" w:after="0"/>
        <w:ind w:start="360" w:end="0"/>
        <w:jc w:val="both"/>
        <w:rPr>
          <w:rFonts w:ascii="Arial Narrow" w:hAnsi="Arial Narrow" w:cs="Arial Narrow"/>
          <w:sz w:val="18"/>
        </w:rPr>
      </w:pPr>
      <w:r>
        <w:rPr>
          <w:rFonts w:cs="Arial Narrow" w:ascii="Arial Narrow" w:hAnsi="Arial Narrow"/>
          <w:sz w:val="18"/>
        </w:rPr>
        <w:t>(1)  the Exposed Party will be obligated immediately to Transfer all Performance Assurance (other than Letters of Credit) and the Interest Amount, if any, to the Non-Exposed Party; and</w:t>
      </w:r>
    </w:p>
    <w:p>
      <w:pPr>
        <w:pStyle w:val="Normal"/>
        <w:spacing w:before="240" w:after="0"/>
        <w:ind w:start="360" w:end="0"/>
        <w:jc w:val="both"/>
        <w:rPr>
          <w:rFonts w:ascii="Arial Narrow" w:hAnsi="Arial Narrow" w:cs="Arial Narrow"/>
          <w:sz w:val="18"/>
        </w:rPr>
      </w:pPr>
      <w:r>
        <w:rPr>
          <w:rFonts w:cs="Arial Narrow"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spacing w:before="240" w:after="0"/>
        <w:jc w:val="both"/>
        <w:rPr/>
      </w:pPr>
      <w:r>
        <w:rPr>
          <w:rFonts w:cs="Arial Narrow" w:ascii="Arial Narrow" w:hAnsi="Arial Narrow"/>
          <w:sz w:val="18"/>
        </w:rPr>
        <w:t xml:space="preserve">X.  </w:t>
      </w:r>
      <w:r>
        <w:rPr>
          <w:rFonts w:cs="Arial Narrow" w:ascii="Arial Narrow" w:hAnsi="Arial Narrow"/>
          <w:sz w:val="18"/>
          <w:u w:val="single"/>
        </w:rPr>
        <w:t>General</w:t>
      </w:r>
      <w:r>
        <w:rPr>
          <w:rFonts w:cs="Arial Narrow" w:ascii="Arial Narrow" w:hAnsi="Arial Narrow"/>
          <w:sz w:val="18"/>
        </w:rPr>
        <w:t>.</w:t>
      </w:r>
    </w:p>
    <w:p>
      <w:pPr>
        <w:pStyle w:val="Normal"/>
        <w:spacing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Security Interest</w:t>
      </w:r>
      <w:r>
        <w:rPr>
          <w:rFonts w:cs="Arial Narrow" w:ascii="Arial Narrow" w:hAnsi="Arial Narrow"/>
          <w:sz w:val="18"/>
        </w:rPr>
        <w:t>.  To secure its obligations under the Master Agreement and all outstanding Transactions, each party hereby grants to the other party a present and continuing first-priority security interest in, and lien on (and right of setoff against), all Performance Assurance (other than Letters of Credit)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Performance Assurance.</w:t>
      </w:r>
    </w:p>
    <w:p>
      <w:pPr>
        <w:pStyle w:val="Normal"/>
        <w:spacing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Substitutions</w:t>
      </w:r>
      <w:r>
        <w:rPr>
          <w:rFonts w:cs="Arial Narrow" w:ascii="Arial Narrow" w:hAnsi="Arial Narrow"/>
          <w:sz w:val="18"/>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spacing w:before="240" w:after="0"/>
        <w:ind w:firstLine="360" w:end="0"/>
        <w:jc w:val="both"/>
        <w:rPr/>
      </w:pPr>
      <w:r>
        <w:rPr>
          <w:rFonts w:cs="Arial Narrow" w:ascii="Arial Narrow" w:hAnsi="Arial Narrow"/>
          <w:sz w:val="18"/>
        </w:rPr>
        <w:t xml:space="preserve">(ii)  Provided that no Event of Default or Potential Event of Default or Event of Change has occurred and is continuing with respect to the Non-Exposed Party and that no Early Termination Date or Accelerated Termination Date has occurred or been designated as the result of an Event of Default or Event of Change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Arial Narrow" w:ascii="Arial Narrow" w:hAnsi="Arial Narrow"/>
          <w:sz w:val="18"/>
          <w:u w:val="single"/>
        </w:rPr>
        <w:t>provided</w:t>
      </w:r>
      <w:r>
        <w:rPr>
          <w:rFonts w:cs="Arial Narrow" w:ascii="Arial Narrow" w:hAnsi="Arial Narrow"/>
          <w:sz w:val="18"/>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before="240" w:after="0"/>
        <w:ind w:firstLine="360" w:end="0"/>
        <w:jc w:val="both"/>
        <w:rPr/>
      </w:pPr>
      <w:r>
        <w:rPr>
          <w:rFonts w:cs="Arial Narrow" w:ascii="Arial Narrow" w:hAnsi="Arial Narrow"/>
          <w:sz w:val="18"/>
        </w:rPr>
        <w:t xml:space="preserve">(c)  </w:t>
      </w:r>
      <w:r>
        <w:rPr>
          <w:rFonts w:cs="Arial Narrow" w:ascii="Arial Narrow" w:hAnsi="Arial Narrow"/>
          <w:sz w:val="18"/>
          <w:u w:val="single"/>
        </w:rPr>
        <w:t>Expenses</w:t>
      </w:r>
      <w:r>
        <w:rPr>
          <w:rFonts w:cs="Arial Narrow" w:ascii="Arial Narrow" w:hAnsi="Arial Narrow"/>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firstLine="360" w:end="0"/>
        <w:jc w:val="both"/>
        <w:rPr>
          <w:rFonts w:ascii="Arial Narrow" w:hAnsi="Arial Narrow" w:cs="Arial Narrow"/>
          <w:sz w:val="18"/>
        </w:rPr>
      </w:pPr>
      <w:r>
        <w:rPr>
          <w:rFonts w:cs="Arial Narrow"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sectPr>
          <w:footerReference w:type="default" r:id="rId10"/>
          <w:footerReference w:type="first" r:id="rId11"/>
          <w:type w:val="nextPage"/>
          <w:pgSz w:w="12240" w:h="15840"/>
          <w:pgMar w:left="1008" w:right="1008" w:gutter="0" w:header="0" w:top="1008" w:footer="720" w:bottom="1008"/>
          <w:pgNumType w:start="1" w:fmt="decimal"/>
          <w:cols w:num="2" w:space="708" w:equalWidth="true" w:sep="false"/>
          <w:formProt w:val="false"/>
          <w:textDirection w:val="lrTb"/>
          <w:docGrid w:type="default" w:linePitch="360" w:charSpace="0"/>
        </w:sectPr>
        <w:pStyle w:val="Normal"/>
        <w:spacing w:before="240" w:after="0"/>
        <w:ind w:firstLine="360" w:end="0"/>
        <w:jc w:val="both"/>
        <w:rPr>
          <w:rFonts w:ascii="Arial Narrow" w:hAnsi="Arial Narrow" w:cs="Arial Narrow"/>
          <w:sz w:val="18"/>
        </w:rPr>
      </w:pPr>
      <w:r>
        <w:rPr>
          <w:rFonts w:cs="Arial Narrow"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the Master Agreement, by the Defaulting Party or, if there is no Defaulting Party, equally by the parties.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TRANSFERABLE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Master Agreement dated as of ___________________, 19___,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footerReference w:type="default" r:id="rId12"/>
      <w:footerReference w:type="first" r:id="rId13"/>
      <w:type w:val="nextPage"/>
      <w:pgSz w:w="12240" w:h="15840"/>
      <w:pgMar w:left="1008" w:right="1008" w:gutter="0" w:header="0" w:top="72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/mnt/main-storage/datasets/enron-docs/doc/industrial_sample.doc</w:t>
    </w:r>
    <w:r>
      <w:rPr>
        <w:sz w:val="16"/>
        <w:rFonts w:cs="Arial Narrow" w:ascii="Arial Narrow" w:hAnsi="Arial Narrow"/>
        <w:lang w:eastAsia="en-US"/>
      </w:rPr>
      <w:fldChar w:fldCharType="end"/>
    </w:r>
  </w:p>
  <w:p>
    <w:pPr>
      <w:pStyle w:val="Normal"/>
      <w:rPr>
        <w:rFonts w:ascii="Arial Narrow" w:hAnsi="Arial Narrow" w:cs="Arial Narrow"/>
        <w:sz w:val="12"/>
      </w:rPr>
    </w:pPr>
    <w:r>
      <w:rPr>
        <w:rFonts w:cs="Arial Narrow" w:ascii="Arial Narrow" w:hAnsi="Arial Narrow"/>
        <w:sz w:val="12"/>
      </w:rPr>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/mnt/main-storage/datasets/enron-docs/doc/industrial_sample.doc</w:t>
    </w:r>
    <w:r>
      <w:rPr>
        <w:sz w:val="16"/>
        <w:rFonts w:cs="Arial Narrow" w:ascii="Arial Narrow" w:hAnsi="Arial Narrow"/>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pPr>
    <w:r>
      <w:rPr>
        <w:rFonts w:cs="Arial Narrow" w:ascii="Arial Narrow" w:hAnsi="Arial Narrow"/>
        <w:sz w:val="18"/>
      </w:rPr>
      <w:t xml:space="preserve">Page </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240" w:after="0"/>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end"/>
      <w:rPr>
        <w:rFonts w:ascii="Arial Narrow" w:hAnsi="Arial Narrow" w:cs="Arial Narrow"/>
        <w:b/>
      </w:rPr>
    </w:pPr>
    <w:r>
      <w:rPr>
        <w:rFonts w:cs="Arial Narrow" w:ascii="Arial Narrow" w:hAnsi="Arial Narrow"/>
        <w:b/>
      </w:rPr>
    </w:r>
  </w:p>
  <w:p>
    <w:pPr>
      <w:pStyle w:val="Header"/>
      <w:jc w:val="end"/>
      <w:rPr>
        <w:rFonts w:ascii="Arial Narrow" w:hAnsi="Arial Narrow" w:cs="Arial Narrow"/>
        <w:b/>
      </w:rPr>
    </w:pPr>
    <w:r>
      <w:rPr>
        <w:rFonts w:cs="Arial Narrow" w:ascii="Arial Narrow" w:hAnsi="Arial Narrow"/>
        <w:b/>
      </w:rPr>
      <w:t>Draft of 01/13/00</w:t>
    </w:r>
  </w:p>
  <w:p>
    <w:pPr>
      <w:pStyle w:val="Header"/>
      <w:jc w:val="center"/>
      <w:rPr>
        <w:rFonts w:ascii="Arial Narrow" w:hAnsi="Arial Narrow" w:cs="Arial Narrow"/>
        <w:b/>
      </w:rPr>
    </w:pPr>
    <w:r>
      <w:rPr>
        <w:rFonts w:cs="Arial Narrow" w:ascii="Arial Narrow" w:hAnsi="Arial Narrow"/>
        <w:b/>
      </w:rPr>
      <w:t>MASTER AGREEMENT</w:t>
    </w:r>
  </w:p>
  <w:p>
    <w:pPr>
      <w:pStyle w:val="Header"/>
      <w:jc w:val="center"/>
      <w:rPr>
        <w:rFonts w:ascii="Arial Narrow" w:hAnsi="Arial Narrow" w:cs="Arial Narrow"/>
        <w:b/>
      </w:rPr>
    </w:pPr>
    <w:r>
      <w:rPr>
        <w:rFonts w:cs="Arial Narrow" w:ascii="Arial Narrow" w:hAnsi="Arial Narrow"/>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2000-02-25T16:52:00Z</dcterms:created>
  <dc:creator>mheard</dc:creator>
  <dc:description/>
  <dc:language>en-CA</dc:language>
  <cp:lastModifiedBy>Tana Jones</cp:lastModifiedBy>
  <cp:lastPrinted>2000-02-25T14:23:00Z</cp:lastPrinted>
  <dcterms:modified xsi:type="dcterms:W3CDTF">2000-02-25T17:56:00Z</dcterms:modified>
  <cp:revision>8</cp:revision>
  <dc:subject/>
  <dc:title>This Master Agreement is entered into as of _____________, 199_ (this "Master Agreement") between _________________, a __________ corporation ("Counterparty") and ENRON NORTH AMERICA CORP</dc:title>
</cp:coreProperties>
</file>