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b/>
          <w:bCs/>
          <w:smallCaps/>
          <w:sz w:val="16"/>
        </w:rPr>
      </w:pPr>
      <w:r>
        <w:rPr>
          <w:rFonts w:cs="Arial Narrow" w:ascii="Arial Narrow" w:hAnsi="Arial Narrow"/>
          <w:b/>
          <w:bCs/>
          <w:smallCaps/>
          <w:sz w:val="16"/>
        </w:rPr>
        <w:t>THIS FORM IS APPROVED ONLY FOR GAS AND POWER COMMODITY DERIVATIVES BETWEEN ENRON CANADA CORP. AND A CANADIAN COUNTERPARTY THAT IS A CORPORATION OR A PARTNERSHIP ORGANIZED UNDER CANADIAN LAW</w:t>
      </w:r>
    </w:p>
    <w:p>
      <w:pPr>
        <w:pStyle w:val="Normal"/>
        <w:jc w:val="both"/>
        <w:rPr>
          <w:rFonts w:ascii="Arial Narrow" w:hAnsi="Arial Narrow" w:cs="Arial Narrow"/>
          <w:b/>
          <w:bCs/>
          <w:smallCaps/>
          <w:sz w:val="18"/>
        </w:rPr>
      </w:pPr>
      <w:r>
        <w:rPr>
          <w:rFonts w:cs="Arial Narrow" w:ascii="Arial Narrow" w:hAnsi="Arial Narrow"/>
          <w:b/>
          <w:bCs/>
          <w:smallCaps/>
          <w:sz w:val="18"/>
        </w:rPr>
      </w:r>
    </w:p>
    <w:p>
      <w:pPr>
        <w:pStyle w:val="Normal"/>
        <w:jc w:val="both"/>
        <w:rPr/>
      </w:pPr>
      <w:r>
        <w:rPr>
          <w:rFonts w:cs="Arial Narrow" w:ascii="Arial Narrow" w:hAnsi="Arial Narrow"/>
          <w:sz w:val="18"/>
        </w:rPr>
        <w:t>This Master Agreement is entered into as of __________, 200_ (this "</w:t>
      </w:r>
      <w:r>
        <w:rPr>
          <w:rFonts w:cs="Arial Narrow" w:ascii="Arial Narrow" w:hAnsi="Arial Narrow"/>
          <w:sz w:val="18"/>
          <w:u w:val="single"/>
        </w:rPr>
        <w:t>Master Agreement</w:t>
      </w:r>
      <w:r>
        <w:rPr>
          <w:rFonts w:cs="Arial Narrow" w:ascii="Arial Narrow" w:hAnsi="Arial Narrow"/>
          <w:sz w:val="18"/>
        </w:rPr>
        <w:t>") between _______________, a ________________ organized under the law of the Province of ________________ ("</w:t>
      </w:r>
      <w:r>
        <w:rPr>
          <w:rFonts w:cs="Arial Narrow" w:ascii="Arial Narrow" w:hAnsi="Arial Narrow"/>
          <w:sz w:val="18"/>
          <w:u w:val="single"/>
        </w:rPr>
        <w:t>Counterparty</w:t>
      </w:r>
      <w:r>
        <w:rPr>
          <w:rFonts w:cs="Arial Narrow" w:ascii="Arial Narrow" w:hAnsi="Arial Narrow"/>
          <w:sz w:val="18"/>
        </w:rPr>
        <w:t>") and ENRON CANADA CORP., a corporation organized under the law of the Province of Alberta ("</w:t>
      </w:r>
      <w:r>
        <w:rPr>
          <w:rFonts w:cs="Arial Narrow" w:ascii="Arial Narrow" w:hAnsi="Arial Narrow"/>
          <w:sz w:val="18"/>
          <w:u w:val="single"/>
        </w:rPr>
        <w:t>ECC</w:t>
      </w:r>
      <w:r>
        <w:rPr>
          <w:rFonts w:cs="Arial Narrow" w:ascii="Arial Narrow" w:hAnsi="Arial Narrow"/>
          <w:sz w:val="18"/>
        </w:rPr>
        <w:t>").  The parties may have entered or may from time to time enter into transactions (each a "</w:t>
      </w:r>
      <w:r>
        <w:rPr>
          <w:rFonts w:cs="Arial Narrow" w:ascii="Arial Narrow" w:hAnsi="Arial Narrow"/>
          <w:sz w:val="18"/>
          <w:u w:val="single"/>
        </w:rPr>
        <w:t>Transaction</w:t>
      </w:r>
      <w:r>
        <w:rPr>
          <w:rFonts w:cs="Arial Narrow" w:ascii="Arial Narrow" w:hAnsi="Arial Narrow"/>
          <w:sz w:val="18"/>
        </w:rPr>
        <w:t>" and collectively, the "</w:t>
      </w:r>
      <w:r>
        <w:rPr>
          <w:rFonts w:cs="Arial Narrow" w:ascii="Arial Narrow" w:hAnsi="Arial Narrow"/>
          <w:sz w:val="18"/>
          <w:u w:val="single"/>
        </w:rPr>
        <w:t>Transactions</w:t>
      </w:r>
      <w:r>
        <w:rPr>
          <w:rFonts w:cs="Arial Narrow" w:ascii="Arial Narrow" w:hAnsi="Arial Narrow"/>
          <w:sz w:val="18"/>
        </w:rPr>
        <w:t>") that are or will be governed by this Master Agreement, which includes the documents and other confirming evidence (each a "</w:t>
      </w:r>
      <w:r>
        <w:rPr>
          <w:rFonts w:cs="Arial Narrow" w:ascii="Arial Narrow" w:hAnsi="Arial Narrow"/>
          <w:sz w:val="18"/>
          <w:u w:val="single"/>
        </w:rPr>
        <w:t>Confirmation</w:t>
      </w:r>
      <w:r>
        <w:rPr>
          <w:rFonts w:cs="Arial Narrow" w:ascii="Arial Narrow" w:hAnsi="Arial Narrow"/>
          <w:sz w:val="18"/>
        </w:rPr>
        <w:t>" and collectively, the "</w:t>
      </w:r>
      <w:r>
        <w:rPr>
          <w:rFonts w:cs="Arial Narrow" w:ascii="Arial Narrow" w:hAnsi="Arial Narrow"/>
          <w:sz w:val="18"/>
          <w:u w:val="single"/>
        </w:rPr>
        <w:t>Confirmations</w:t>
      </w:r>
      <w:r>
        <w:rPr>
          <w:rFonts w:cs="Arial Narrow" w:ascii="Arial Narrow" w:hAnsi="Arial Narrow"/>
          <w:sz w:val="18"/>
        </w:rPr>
        <w:t>") exchanged between the parties evidencing and confirming the Transactions.  Each Confirmation shall constitute a supplement to and form a part of this Master Agreement and shall be read and construed together with this Master Agreement and all Credit Support Documents so that this Master Agreement, all Credit Support Documents, and all Confirmations constitute a single agreement between the parties (collectively, the "</w:t>
      </w:r>
      <w:r>
        <w:rPr>
          <w:rFonts w:cs="Arial Narrow" w:ascii="Arial Narrow" w:hAnsi="Arial Narrow"/>
          <w:sz w:val="18"/>
          <w:u w:val="single"/>
        </w:rPr>
        <w:t>Agreement</w:t>
      </w:r>
      <w:r>
        <w:rPr>
          <w:rFonts w:cs="Arial Narrow" w:ascii="Arial Narrow" w:hAnsi="Arial Narrow"/>
          <w:sz w:val="18"/>
        </w:rPr>
        <w:t>"), and all Transactions contemplated in all Confirmations shall be integral parts of this Master Agreement.  All Transactions are entered into in reliance upon the fact that this Master Agreement and all Confirmations form a single agreement between the parties, and the parties would not otherwise enter into any Transaction.  Except as otherwise provided in this Master Agreement, in the event of any inconsistency between the provisions of this Master Agreement and the terms of the relevant Transaction set forth in a Confirmation, such Confirmation will prevail for the purpose of the relevant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1. </w:t>
      </w:r>
      <w:r>
        <w:rPr>
          <w:rFonts w:cs="Arial Narrow" w:ascii="Arial Narrow" w:hAnsi="Arial Narrow"/>
          <w:b/>
          <w:bCs/>
          <w:sz w:val="18"/>
          <w:u w:val="single"/>
        </w:rPr>
        <w:t>Transactions</w:t>
      </w:r>
      <w:r>
        <w:rPr>
          <w:rFonts w:cs="Arial Narrow" w:ascii="Arial Narrow" w:hAnsi="Arial Narrow"/>
          <w:sz w:val="18"/>
        </w:rPr>
        <w:t xml:space="preserve">. </w:t>
      </w:r>
      <w:r>
        <w:rPr>
          <w:rFonts w:cs="Arial Narrow" w:ascii="Arial Narrow" w:hAnsi="Arial Narrow"/>
          <w:sz w:val="18"/>
          <w:u w:val="single"/>
        </w:rPr>
        <w:t>Formation</w:t>
      </w:r>
      <w:r>
        <w:rPr>
          <w:rFonts w:cs="Arial Narrow" w:ascii="Arial Narrow" w:hAnsi="Arial Narrow"/>
          <w:sz w:val="18"/>
        </w:rPr>
        <w:t>. A Transaction shall be entered into by means of (a) an offer by either party to the other party in a telephone conversation that may be recorded (each party hereby consenting to the recording of its employees' conversations with respect to a Transaction without further notice) and the acceptance of such offer by the offeree in such telephone conversation or (b) an offer by either party to the other party and the acceptance of such offer by the offeree evidenced solely in writing by a Confirmation.  The parties intend to be legally bound by the terms of each Transaction from the moment they agree to its terms, whether orally or otherwise (the "</w:t>
      </w:r>
      <w:r>
        <w:rPr>
          <w:rFonts w:cs="Arial Narrow" w:ascii="Arial Narrow" w:hAnsi="Arial Narrow"/>
          <w:sz w:val="18"/>
          <w:u w:val="single"/>
        </w:rPr>
        <w:t>Trade Date</w:t>
      </w:r>
      <w:r>
        <w:rPr>
          <w:rFonts w:cs="Arial Narrow" w:ascii="Arial Narrow" w:hAnsi="Arial Narrow"/>
          <w:sz w:val="18"/>
        </w:rPr>
        <w:t>").  As a material part of the consideration for entering into this Master Agreement, each party agrees not to contest or assert, and waives any right to, any defense to the validity or enforceability of Transactions formed in accordance with this Master Agreement under laws relating to the authority of any employee or whether certain agreements are to be in writing or signed by such party to be thereby bound.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Confirmations of Transactions</w:t>
      </w:r>
      <w:r>
        <w:rPr>
          <w:rFonts w:cs="Arial Narrow" w:ascii="Arial Narrow" w:hAnsi="Arial Narrow"/>
          <w:sz w:val="18"/>
        </w:rPr>
        <w:t>. ECC shall execute and deliver to Counterparty promptly after an oral agreement to a Transaction a written Confirmation, which shall be promptly executed by Counterparty and returned to ECC.  A Confirmation delivered as provided above shall govern the Transaction upon receipt by ECC of Counterparty's acceptance or as otherwise set forth below.  If after Counterparty's receipt of the Confirmation, Counterparty immediately notifies ECC that the Confirmation contains a bona fide error, the Confirmation will be revised accordingly and the revised Confirmation shall govern the Transaction; provided, if any dispute shall arise as to whether an error exists, the parties shall in good faith make reasonable efforts to resolve the dispute.  If Counterparty has not immediately notified ECC of a bona fide error in the Confirmation or has not accepted the Confirmation in the manner set forth above within two Business Days after it was received by Counterparty, the Confirmation shall be deemed binding as delivered and govern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2. </w:t>
      </w:r>
      <w:r>
        <w:rPr>
          <w:rFonts w:cs="Arial Narrow" w:ascii="Arial Narrow" w:hAnsi="Arial Narrow"/>
          <w:b/>
          <w:bCs/>
          <w:sz w:val="18"/>
          <w:u w:val="single"/>
        </w:rPr>
        <w:t>Payments</w:t>
      </w:r>
      <w:r>
        <w:rPr>
          <w:rFonts w:cs="Arial Narrow" w:ascii="Arial Narrow" w:hAnsi="Arial Narrow"/>
          <w:sz w:val="18"/>
        </w:rPr>
        <w:t xml:space="preserve">. </w:t>
      </w:r>
      <w:r>
        <w:rPr>
          <w:rFonts w:cs="Arial Narrow" w:ascii="Arial Narrow" w:hAnsi="Arial Narrow"/>
          <w:sz w:val="18"/>
          <w:u w:val="single"/>
        </w:rPr>
        <w:t>Types</w:t>
      </w:r>
      <w:r>
        <w:rPr>
          <w:rFonts w:cs="Arial Narrow" w:ascii="Arial Narrow" w:hAnsi="Arial Narrow"/>
          <w:sz w:val="18"/>
        </w:rPr>
        <w:t xml:space="preserve">. For each Calculation Period with respect to each Transaction,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Floating Price Payor shall pay Fixed Price Payor the amount by which the Floating Amount exceeds the Fixed Amount, and (ii) if the Floating Amount is less than the Fixed Amount, Fixed Price Payor shall pay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Buyer, Seller shall pay Buyer the Cash Settlement Amount, if any (Buyer may exercise the rights granted pursuant to the Option only by giving a Notice of Exercise on a Business Day during the Exercise Period, together with a Written Exercise Notice if requested by Seller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Floating Price Payor shall pay to Fixed Price Payor the amount by which the Floating Amount exceeds the Cap Amount, and (ii) if the Floating Amount is less than the Floor Amount, Fixed Price Payor shall pay to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Buyer, all payments payable under the Underlying Transaction shall be made in the manner specified for a Swap (Buyer shall exercise a Swaption in accordance with the Option procedures); and (e) the </w:t>
      </w:r>
      <w:r>
        <w:rPr>
          <w:rFonts w:cs="Arial Narrow" w:ascii="Arial Narrow" w:hAnsi="Arial Narrow"/>
          <w:sz w:val="18"/>
          <w:u w:val="single"/>
        </w:rPr>
        <w:t xml:space="preserve">TOTAL </w:t>
      </w:r>
      <w:r>
        <w:rPr>
          <w:rFonts w:cs="Arial Narrow" w:ascii="Arial Narrow" w:hAnsi="Arial Narrow"/>
          <w:caps/>
          <w:sz w:val="18"/>
          <w:u w:val="single"/>
        </w:rPr>
        <w:t>Premium</w:t>
      </w:r>
      <w:r>
        <w:rPr>
          <w:rFonts w:cs="Arial Narrow" w:ascii="Arial Narrow" w:hAnsi="Arial Narrow"/>
          <w:sz w:val="18"/>
        </w:rPr>
        <w:t xml:space="preserve"> for an Option, Collar, or Swaption, Buyer or Premium Payor (as the case may be) shall pay to the other party on the Premium Payment Date(s) the Total Premium.  For the purposes of the calculations of the Floating Price(s), all numbers shall be rounded as follows:  commodities quoted in (a) gallons, shall be rounded to five places, (b) Mmbtu's shall be rounded to four places, and (c) barrels and megawatt hours shall be rounded to three places.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Procedures</w:t>
      </w:r>
      <w:r>
        <w:rPr>
          <w:rFonts w:cs="Arial Narrow" w:ascii="Arial Narrow" w:hAnsi="Arial Narrow"/>
          <w:sz w:val="18"/>
        </w:rPr>
        <w:t xml:space="preserve">. Each payment shall be made in Canadian Dollars unless specified otherwise in a Confirmation via wire transfer in immediately available funds on the relevant Payment Date (or if not a Business Day, on the next Business Day).  If either party is required by law or regulation to make any deduction or withholding for or on account of taxes, such party shall pay such additional amounts as shall be necessary in order that the net amounts received by the other party after such deduction or withholding shall equal the amount that would have been receivable hereunder in the absence of such deduction or withholding.  Except as expressly provided in Section 6, each payment obligation of each party under a Transaction is subject to (a) the condition precedent that no Event of Default or event which, with the giving of notice or the lapse of time or both, would constitute an Event of Default with respect to the other party has occurred and is continuing, (b) the condition precedent that no Early Termination Date or Accelerated Termination Date in respect of the relevant Transaction has occurred or been effectively designated, (c) the condition precedent that no Market Disruption Event in respect of the relevant Transaction has occurred and is continuing that is not otherwise resolved under the terms of Section 4, and (d) each other applicable condition precedent to payment specified in the Agreement; provided, the condition precedent set forth in (a) above does not apply to a payment owing by a party if the other party shall have satisfied in full all of its payment obligations under Section 2 and shall at the relevant time have no future payment obligations, whether absolute or contingent, under Section 2.  If amounts are not paid when due, they shall bear interest daily until paid in full at the Interest Rate.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3. </w:t>
      </w:r>
      <w:r>
        <w:rPr>
          <w:rFonts w:cs="Arial Narrow" w:ascii="Arial Narrow" w:hAnsi="Arial Narrow"/>
          <w:b/>
          <w:bCs/>
          <w:sz w:val="18"/>
          <w:u w:val="single"/>
        </w:rPr>
        <w:t>Representations</w:t>
      </w:r>
      <w:r>
        <w:rPr>
          <w:rFonts w:cs="Arial Narrow" w:ascii="Arial Narrow" w:hAnsi="Arial Narrow"/>
          <w:sz w:val="18"/>
        </w:rPr>
        <w:t xml:space="preserve">. On the date hereof, on the date of entering into each Transaction, and on each Trade Date, each of ECC and Counterparty represents and warrants to the other with respect to itself,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the Agreement have been duly authorized by all necessary corporate or other organization action on its part, (ii) the Agreement is its legally valid and binding obligation, enforceable against it in accordance with its terms, (iii) it is a resident of Canada for purposes of the </w:t>
      </w:r>
      <w:r>
        <w:rPr>
          <w:rFonts w:cs="Arial Narrow" w:ascii="Arial Narrow" w:hAnsi="Arial Narrow"/>
          <w:i/>
          <w:iCs/>
          <w:sz w:val="18"/>
        </w:rPr>
        <w:t>Income Tax Act</w:t>
      </w:r>
      <w:r>
        <w:rPr>
          <w:rFonts w:cs="Arial Narrow" w:ascii="Arial Narrow" w:hAnsi="Arial Narrow"/>
          <w:sz w:val="18"/>
        </w:rPr>
        <w:t xml:space="preserve"> (Canada), and (iv) during the term hereof, it will not be doing business in any jurisdiction that imposes any withholding tax or similar levy on any payment made or received by it under the Agreement; and (b) </w:t>
      </w:r>
      <w:r>
        <w:rPr>
          <w:rFonts w:cs="Arial Narrow" w:ascii="Arial Narrow" w:hAnsi="Arial Narrow"/>
          <w:sz w:val="18"/>
          <w:u w:val="single"/>
        </w:rPr>
        <w:t>Canadian Securities Acts</w:t>
      </w:r>
      <w:r>
        <w:rPr>
          <w:rFonts w:cs="Arial Narrow" w:ascii="Arial Narrow" w:hAnsi="Arial Narrow"/>
          <w:sz w:val="18"/>
        </w:rPr>
        <w:t xml:space="preserve"> each Transaction shall constitute an "OTC Derivative" as defined in paragraph 4 of the Alberta Securities Commission Order Doc#394043 and paragraph 1.1 of the British Columbia Securities Commission Blanket Order BOR#91-501 (BC), and it is a "Qualified Party" within the meaning of paragraphs 9.1 and 1.1 of such orders, respectively, as in effect on the date hereof; and (c) </w:t>
      </w:r>
      <w:r>
        <w:rPr>
          <w:rFonts w:cs="Arial Narrow" w:ascii="Arial Narrow" w:hAnsi="Arial Narrow"/>
          <w:sz w:val="18"/>
          <w:u w:val="single"/>
        </w:rPr>
        <w:t>Line of Business</w:t>
      </w:r>
      <w:r>
        <w:rPr>
          <w:rFonts w:cs="Arial Narrow" w:ascii="Arial Narrow" w:hAnsi="Arial Narrow"/>
          <w:sz w:val="18"/>
        </w:rPr>
        <w:t xml:space="preserve">  it is entering into the Agreement in conjunction with its line of business (including financial intermediation services) or the financing of its business; and (d) </w:t>
      </w:r>
      <w:r>
        <w:rPr>
          <w:rFonts w:cs="Arial Narrow" w:ascii="Arial Narrow" w:hAnsi="Arial Narrow"/>
          <w:sz w:val="18"/>
          <w:u w:val="single"/>
        </w:rPr>
        <w:t>No Reliance</w:t>
      </w:r>
      <w:r>
        <w:rPr>
          <w:rFonts w:cs="Arial Narrow" w:ascii="Arial Narrow" w:hAnsi="Arial Narrow"/>
          <w:sz w:val="18"/>
        </w:rPr>
        <w:t xml:space="preserve">  (i) the other party to the Agreement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the Agreement or the expected performance or result of any Transaction, and (ii) in connection with the negotiation and execution of the Agreement, (1) it is acting as a principal only (and not as an agent or in any other capacity, fiduciary or otherwise), (2) it is not relying upon any advice, counsel, or representations (whether written or oral) of the other party other than the representations expressly set forth in the Agreement, (3) it has made and will make its own decisions regarding the entering into of the Agreement based upon its own judgment and the advice from such professional advisors as it deemed, or will deem, necessary to consult, (4) all of its decisions regarding the Agreement have been the result of arm's-length negotiations between the parties, and (5) it has a full understanding of all the terms, conditions and risks (economic and otherwise) of the Agreement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the Agreement to which it or its Affiliates is a party or its or its Affiliates' ability to perform their respective obligations under the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4. </w:t>
      </w:r>
      <w:r>
        <w:rPr>
          <w:rFonts w:cs="Arial Narrow" w:ascii="Arial Narrow" w:hAnsi="Arial Narrow"/>
          <w:b/>
          <w:bCs/>
          <w:sz w:val="18"/>
          <w:u w:val="single"/>
        </w:rPr>
        <w:t>Market Disruption</w:t>
      </w:r>
      <w:r>
        <w:rPr>
          <w:rFonts w:cs="Arial Narrow" w:ascii="Arial Narrow" w:hAnsi="Arial Narrow"/>
          <w:sz w:val="18"/>
        </w:rPr>
        <w:t>. If a Market Disruption Event has occurred and is continuing on any Trading Day, the Floating Price for such Trading Day shall be determined pursuant to the Floating Price Source for the first Trading Day thereafter on which no Market Disruption Event exists; provided, if the Floating Price is not so determined within three Business Days after the first Trading Day on which the Market Disruption Event occurred or existed, then the Floating Price shall be determined by reference to the Alternative Floating Price Source, if any, which is not subject to a Market Disruption Event.  If no Alternative Floating Price Source is applicable, and the Market Disruption Event continues for more than three Business Days, then the parties shall negotiate in good faith to agree on a Floating Price (or a method for determining a Floating Price), and if the parties have not so agreed on or before the 12th Business Day following the first Trading Day on which the Market Disruption Event occurred or existed, then the Floating Price shall be determined in good faith by ECC, by taking the average of two or more dealer quotes.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bCs/>
          <w:sz w:val="18"/>
          <w:u w:val="single"/>
        </w:rPr>
        <w:t>Events of Default</w:t>
      </w:r>
      <w:r>
        <w:rPr>
          <w:rFonts w:cs="Arial Narrow" w:ascii="Arial Narrow" w:hAnsi="Arial Narrow"/>
          <w:sz w:val="18"/>
        </w:rPr>
        <w:t>. An event of default ("</w:t>
      </w:r>
      <w:r>
        <w:rPr>
          <w:rFonts w:cs="Arial Narrow" w:ascii="Arial Narrow" w:hAnsi="Arial Narrow"/>
          <w:sz w:val="18"/>
          <w:u w:val="single"/>
        </w:rPr>
        <w:t>Event of Default</w:t>
      </w:r>
      <w:r>
        <w:rPr>
          <w:rFonts w:cs="Arial Narrow" w:ascii="Arial Narrow" w:hAnsi="Arial Narrow"/>
          <w:sz w:val="18"/>
        </w:rPr>
        <w:t>") means with respect to a party (the "</w:t>
      </w:r>
      <w:r>
        <w:rPr>
          <w:rFonts w:cs="Arial Narrow" w:ascii="Arial Narrow" w:hAnsi="Arial Narrow"/>
          <w:sz w:val="18"/>
          <w:u w:val="single"/>
        </w:rPr>
        <w:t>Defaulting Party</w:t>
      </w:r>
      <w:r>
        <w:rPr>
          <w:rFonts w:cs="Arial Narrow" w:ascii="Arial Narrow" w:hAnsi="Arial Narrow"/>
          <w:sz w:val="18"/>
        </w:rPr>
        <w:t xml:space="preserve">") or, if applicable, its Credit Support Provider, any of the following:  (a) the failure to make, when due, any payment required under the Agreement if such failure is not remedied within three Business Days after it is given notice of such failure; (b) any representation or warranty made in the Agreement shall prove to have been false or misleading in any material respect; (c) the breach of any other covenant or agreement set forth in the Agreement (other than the obligation (i) to make payment and (ii) to establish, maintain, renew, or increase Performance Assurance as set forth in the Credit Support Annex) and such failure is not cured within ten Business Days after it is given notice thereof; (d) the occurrence of an Insolvency Event; (e) the occurrence of a Merger Event </w:t>
      </w:r>
      <w:r>
        <w:rPr>
          <w:rFonts w:cs="Arial Narrow" w:ascii="Arial Narrow" w:hAnsi="Arial Narrow"/>
          <w:color w:val="FF0000"/>
          <w:sz w:val="18"/>
        </w:rPr>
        <w:t>[</w:t>
      </w:r>
      <w:r>
        <w:rPr>
          <w:rFonts w:cs="Arial Narrow" w:ascii="Arial Narrow" w:hAnsi="Arial Narrow"/>
          <w:sz w:val="18"/>
        </w:rPr>
        <w:t xml:space="preserve">or </w:t>
      </w:r>
      <w:r>
        <w:rPr>
          <w:rFonts w:cs="Arial Narrow" w:ascii="Arial Narrow" w:hAnsi="Arial Narrow"/>
          <w:color w:val="000000"/>
          <w:sz w:val="18"/>
        </w:rPr>
        <w:t>Partnership Event</w:t>
      </w:r>
      <w:r>
        <w:rPr>
          <w:rFonts w:cs="Arial Narrow" w:ascii="Arial Narrow" w:hAnsi="Arial Narrow"/>
          <w:color w:val="FF0000"/>
          <w:sz w:val="18"/>
        </w:rPr>
        <w:t>]</w:t>
      </w:r>
      <w:r>
        <w:rPr>
          <w:rFonts w:cs="Arial Narrow" w:ascii="Arial Narrow" w:hAnsi="Arial Narrow"/>
          <w:sz w:val="18"/>
        </w:rPr>
        <w:t xml:space="preserve">; (f) the failure in the payment when due (whether at maturity, by acceleration, or otherwise) of any obligation in respect of borrowed money, in an aggregate amount in excess of $__________ with respect to Counterparty, </w:t>
      </w:r>
      <w:r>
        <w:rPr>
          <w:rFonts w:cs="Arial Narrow" w:ascii="Arial Narrow" w:hAnsi="Arial Narrow"/>
          <w:color w:val="FF0000"/>
          <w:sz w:val="18"/>
        </w:rPr>
        <w:t>[</w:t>
      </w:r>
      <w:r>
        <w:rPr>
          <w:rFonts w:cs="Arial Narrow" w:ascii="Arial Narrow" w:hAnsi="Arial Narrow"/>
          <w:sz w:val="18"/>
        </w:rPr>
        <w:t>and $__________ with respect to Counterparty's Credit Support Provider</w:t>
      </w:r>
      <w:r>
        <w:rPr>
          <w:rFonts w:cs="Arial Narrow" w:ascii="Arial Narrow" w:hAnsi="Arial Narrow"/>
          <w:color w:val="FF0000"/>
          <w:sz w:val="18"/>
        </w:rPr>
        <w:t>]</w:t>
      </w:r>
      <w:r>
        <w:rPr>
          <w:rFonts w:cs="Arial Narrow" w:ascii="Arial Narrow" w:hAnsi="Arial Narrow"/>
          <w:sz w:val="18"/>
        </w:rPr>
        <w:t xml:space="preserve">, $100,000,000 with respect to ECC, </w:t>
      </w:r>
      <w:r>
        <w:rPr>
          <w:rFonts w:cs="Arial Narrow" w:ascii="Arial Narrow" w:hAnsi="Arial Narrow"/>
          <w:color w:val="FF0000"/>
          <w:sz w:val="18"/>
        </w:rPr>
        <w:t>[</w:t>
      </w:r>
      <w:r>
        <w:rPr>
          <w:rFonts w:cs="Arial Narrow" w:ascii="Arial Narrow" w:hAnsi="Arial Narrow"/>
          <w:sz w:val="18"/>
        </w:rPr>
        <w:t>and $100,000,000 with respect to ECC's Credit Support Provider</w:t>
      </w:r>
      <w:r>
        <w:rPr>
          <w:rFonts w:cs="Arial Narrow" w:ascii="Arial Narrow" w:hAnsi="Arial Narrow"/>
          <w:color w:val="FF0000"/>
          <w:sz w:val="18"/>
        </w:rPr>
        <w:t>]</w:t>
      </w:r>
      <w:r>
        <w:rPr>
          <w:rFonts w:cs="Arial Narrow" w:ascii="Arial Narrow" w:hAnsi="Arial Narrow"/>
          <w:sz w:val="18"/>
        </w:rPr>
        <w:t>, and the failure to remedy such failure within any applicable grace period, or the failure by any of the foregoing, as the case may be,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 or (g) the failure to establish, maintain, renew, substitute, or increase the Performance Assurance as defined in, and in accordance with the terms and provisions of, the Credit Support Annex.</w:t>
      </w:r>
    </w:p>
    <w:p>
      <w:pPr>
        <w:pStyle w:val="Normal"/>
        <w:jc w:val="both"/>
        <w:rPr>
          <w:rFonts w:ascii="Arial Narrow" w:hAnsi="Arial Narrow" w:cs="Arial Narrow"/>
          <w:sz w:val="18"/>
          <w:vertAlign w:val="subscript"/>
        </w:rPr>
      </w:pPr>
      <w:r>
        <w:rPr>
          <w:rFonts w:cs="Arial Narrow" w:ascii="Arial Narrow" w:hAnsi="Arial Narrow"/>
          <w:sz w:val="18"/>
          <w:vertAlign w:val="subscript"/>
        </w:rPr>
      </w:r>
    </w:p>
    <w:p>
      <w:pPr>
        <w:pStyle w:val="Normal"/>
        <w:jc w:val="both"/>
        <w:rPr/>
      </w:pPr>
      <w:r>
        <w:rPr>
          <w:rFonts w:cs="Arial Narrow" w:ascii="Arial Narrow" w:hAnsi="Arial Narrow"/>
          <w:sz w:val="18"/>
        </w:rPr>
        <w:t xml:space="preserve">6. </w:t>
      </w:r>
      <w:r>
        <w:rPr>
          <w:rFonts w:cs="Arial Narrow" w:ascii="Arial Narrow" w:hAnsi="Arial Narrow"/>
          <w:b/>
          <w:bCs/>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w:t>
      </w:r>
      <w:r>
        <w:rPr>
          <w:rFonts w:cs="Arial Narrow" w:ascii="Arial Narrow" w:hAnsi="Arial Narrow"/>
          <w:sz w:val="18"/>
          <w:u w:val="single"/>
        </w:rPr>
        <w:t>Early Termination Date</w:t>
      </w:r>
      <w:r>
        <w:rPr>
          <w:rFonts w:cs="Arial Narrow" w:ascii="Arial Narrow" w:hAnsi="Arial Narrow"/>
          <w:sz w:val="18"/>
        </w:rPr>
        <w:t xml:space="preserve">").  On the Early Termination Date, all obligations under all Transactions with respect to all Calculation Periods which would have ended after the Early Termination Date shall be terminated, except as provided below.  If an Early Termination Date has been designated, the non-defaulting party shall in good faith calculate its Gains, Losses, and Costs resulting from the termination of the parties' obligations under all Transactions with respect to all Payment Dates that would have occurred after the Early Termination Date had the Early Termination Date not occurred.  The non-defaulting party shall aggregate such Gains, Losses, and Costs with respect to all Transactions plus all Unpaid Amounts into a single net amount and notify the Defaulting Party of the net amount owed or owing.  If the non-defaulting party is owed such net amount, the Defaulting Party shall, within five Business Days of receipt of such notice, pay the net amount to the non-defaulting party, which amount shall bear interest at the Interest Rate from the Early Termination Date until paid.  If the non-defaulting party owes such net amount, the non-defaulting party shall, subject to the provisions of Section 9, within five Business Days of the Early Termination Date, pay the net amount to the Defaulting Party, which amount shall bear interest at the Interest Rate from five Business Days after the Early Termination Date until paid.  </w:t>
      </w:r>
      <w:r>
        <w:rPr>
          <w:rFonts w:cs="Arial Narrow" w:ascii="Arial Narrow" w:hAnsi="Arial Narrow"/>
          <w:b/>
          <w:bCs/>
          <w:caps/>
          <w:sz w:val="16"/>
        </w:rPr>
        <w:t>No party shall be required to pay SPECIAL, EXEMPLARY, PUNITIVE, incidental, consequential, or indirect damages (WHETHER OR NOT ARISING FROM A PARTY'S NEGLIGENCE) to the other party, except to the extent that the payments required to be made pursuant to tHE AGREEMENT are deemed to be such damages.  If and to the extent any payment made pursuant to thE AGREEMENT is deemed to constitute liquidated damages, the parties acknowledge and agree that damages are difficult or impossible to determine and that such payment IS INTENDED TO BE a reasonable AND GENUINE PRE-ESTIMATE AND approximation of the amount of such damages and not a penalty.</w:t>
      </w:r>
    </w:p>
    <w:p>
      <w:pPr>
        <w:pStyle w:val="Normal"/>
        <w:jc w:val="both"/>
        <w:rPr>
          <w:rFonts w:ascii="Arial Narrow" w:hAnsi="Arial Narrow" w:cs="Arial Narrow"/>
          <w:b/>
          <w:bCs/>
          <w:caps/>
          <w:sz w:val="18"/>
        </w:rPr>
      </w:pPr>
      <w:r>
        <w:rPr>
          <w:rFonts w:cs="Arial Narrow" w:ascii="Arial Narrow" w:hAnsi="Arial Narrow"/>
          <w:b/>
          <w:bCs/>
          <w:caps/>
          <w:sz w:val="18"/>
        </w:rPr>
      </w:r>
    </w:p>
    <w:p>
      <w:pPr>
        <w:pStyle w:val="Normal"/>
        <w:jc w:val="both"/>
        <w:rPr/>
      </w:pPr>
      <w:r>
        <w:rPr>
          <w:rFonts w:cs="Arial Narrow" w:ascii="Arial Narrow" w:hAnsi="Arial Narrow"/>
          <w:sz w:val="18"/>
        </w:rPr>
        <w:t xml:space="preserve">7. </w:t>
      </w:r>
      <w:r>
        <w:rPr>
          <w:rFonts w:cs="Arial Narrow" w:ascii="Arial Narrow" w:hAnsi="Arial Narrow"/>
          <w:b/>
          <w:bCs/>
          <w:sz w:val="18"/>
          <w:u w:val="single"/>
        </w:rPr>
        <w:t>Events of Change</w:t>
      </w:r>
      <w:r>
        <w:rPr>
          <w:rFonts w:cs="Arial Narrow" w:ascii="Arial Narrow" w:hAnsi="Arial Narrow"/>
          <w:sz w:val="18"/>
        </w:rPr>
        <w:t xml:space="preserve">. </w:t>
      </w:r>
      <w:r>
        <w:rPr>
          <w:rFonts w:cs="Arial Narrow" w:ascii="Arial Narrow" w:hAnsi="Arial Narrow"/>
          <w:sz w:val="18"/>
          <w:u w:val="single"/>
        </w:rPr>
        <w:t>Determination</w:t>
      </w:r>
      <w:r>
        <w:rPr>
          <w:rFonts w:cs="Arial Narrow" w:ascii="Arial Narrow" w:hAnsi="Arial Narrow"/>
          <w:sz w:val="18"/>
        </w:rPr>
        <w:t>. If an Event of Change shall occur, either party shall, promptly upon becoming aware of it, notify the other party of the occurrence of such Event of Change.  If an Event of Change shall have occurred be continuing, upon at least two, but not more than 20 Business Days', notice to the other party, either party may designate in writing a Business Day as an accelerated termination date ("</w:t>
      </w:r>
      <w:r>
        <w:rPr>
          <w:rFonts w:cs="Arial Narrow" w:ascii="Arial Narrow" w:hAnsi="Arial Narrow"/>
          <w:sz w:val="18"/>
          <w:u w:val="single"/>
        </w:rPr>
        <w:t>Accelerated Termination Date</w:t>
      </w:r>
      <w:r>
        <w:rPr>
          <w:rFonts w:cs="Arial Narrow" w:ascii="Arial Narrow" w:hAnsi="Arial Narrow"/>
          <w:sz w:val="18"/>
        </w:rPr>
        <w:t>") with respect to only those Transactions that are affected by such Event of Change.  Prior to the Accelerated Termination Date, the parties shall make reasonable efforts to effect a resolution under which the performance of those Transactions affected by the Event of Change may continue; provided, no obligation of any party shall arise hereunder other than to negotiate in good faith to make arrangements that will not adversely affect such party.  Upon the Accelerated Termination Date, all obligations under the Agreement with respect to all Transactions affected by the Event of Change that would have been payable with respect to all Calculation Periods that would have ended on or after the Accelerated Termination Date shall be terminated, except for the obligations contained in this Section 7, and each party shall in good faith calculate its Gains, Losses, and Costs resulting from the termination of those Transactions affected by the Event of Change.  Each party shall then aggregate such Gains, Losses, and Costs with respect to such Transactions into a single net amount, a "</w:t>
      </w:r>
      <w:r>
        <w:rPr>
          <w:rFonts w:cs="Arial Narrow" w:ascii="Arial Narrow" w:hAnsi="Arial Narrow"/>
          <w:sz w:val="18"/>
          <w:u w:val="single"/>
        </w:rPr>
        <w:t>Net Gain</w:t>
      </w:r>
      <w:r>
        <w:rPr>
          <w:rFonts w:cs="Arial Narrow" w:ascii="Arial Narrow" w:hAnsi="Arial Narrow"/>
          <w:sz w:val="18"/>
        </w:rPr>
        <w:t>" (Gains exceed Losses and Costs) or "</w:t>
      </w:r>
      <w:r>
        <w:rPr>
          <w:rFonts w:cs="Arial Narrow" w:ascii="Arial Narrow" w:hAnsi="Arial Narrow"/>
          <w:sz w:val="18"/>
          <w:u w:val="single"/>
        </w:rPr>
        <w:t>Net Loss</w:t>
      </w:r>
      <w:r>
        <w:rPr>
          <w:rFonts w:cs="Arial Narrow" w:ascii="Arial Narrow" w:hAnsi="Arial Narrow"/>
          <w:sz w:val="18"/>
        </w:rPr>
        <w:t xml:space="preserve">" (Losses and Costs exceed Gains).  Upon request, each party agrees to provide to the other written notice of its calculations and supporting documentation.  In the event that the parties cannot agree upon the net amounts so calculated within three Business Days after the Accelerated Termination Date, the determination shall be made based upon the arithmetic average of the prices (excluding the highest and lowest prices) quoted by Reference Market-Makers for a Replacement Transaction of all Transactions affected by the Event of Change.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Payment</w:t>
      </w:r>
      <w:r>
        <w:rPr>
          <w:rFonts w:cs="Arial Narrow" w:ascii="Arial Narrow" w:hAnsi="Arial Narrow"/>
          <w:sz w:val="18"/>
        </w:rPr>
        <w:t>. The "</w:t>
      </w:r>
      <w:r>
        <w:rPr>
          <w:rFonts w:cs="Arial Narrow" w:ascii="Arial Narrow" w:hAnsi="Arial Narrow"/>
          <w:sz w:val="18"/>
          <w:u w:val="single"/>
        </w:rPr>
        <w:t>Payment Amount</w:t>
      </w:r>
      <w:r>
        <w:rPr>
          <w:rFonts w:cs="Arial Narrow" w:ascii="Arial Narrow" w:hAnsi="Arial Narrow"/>
          <w:sz w:val="18"/>
        </w:rPr>
        <w:t>" shall equal (a) fifty percent of, the sum of the Net Gain and the absolute value of the Net Loss, plus (b) any Unpaid Amounts owed by the party with the Net Gain to the party with the Net Loss minus (c) any Unpaid Amounts owed by the party with the Net Loss to the party with the Net Gain.  If the Payment Amount is positive, the party with the Net Gain shall pay the Payment Amount to the party with the Net Loss.  If the Payment Amount is negative, the party with the Net Loss shall pay the absolute value of the Payment Amount to the party with the Net Gain.  The Payment Amount shall be paid no later than two Business Days after its determination.  Should an Event of Default occur after an Event of Change, but prior to payment of the Payment Amount resulting therefrom, then the non-defaulting party shall be entitled to designate an Early Termination Date, and Section 6 shall supersede and replace the implementation of the provisions of this Section 7.</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8. </w:t>
      </w:r>
      <w:r>
        <w:rPr>
          <w:rFonts w:cs="Arial Narrow" w:ascii="Arial Narrow" w:hAnsi="Arial Narrow"/>
          <w:b/>
          <w:bCs/>
          <w:sz w:val="18"/>
          <w:u w:val="single"/>
        </w:rPr>
        <w:t>Credit Support</w:t>
      </w:r>
      <w:r>
        <w:rPr>
          <w:rFonts w:cs="Arial Narrow" w:ascii="Arial Narrow" w:hAnsi="Arial Narrow"/>
          <w:sz w:val="18"/>
        </w:rPr>
        <w:t xml:space="preserve">. </w:t>
      </w:r>
      <w:r>
        <w:rPr>
          <w:rFonts w:cs="Arial Narrow" w:ascii="Arial Narrow" w:hAnsi="Arial Narrow"/>
          <w:color w:val="FF0000"/>
          <w:sz w:val="18"/>
        </w:rPr>
        <w:t>[</w:t>
      </w:r>
      <w:r>
        <w:rPr>
          <w:rFonts w:cs="Arial Narrow" w:ascii="Arial Narrow" w:hAnsi="Arial Narrow"/>
          <w:sz w:val="18"/>
        </w:rPr>
        <w:t>Counterparty shall cause its Credit Support Provider to deliver its Guaranty to ECC,</w:t>
      </w:r>
      <w:r>
        <w:rPr>
          <w:rFonts w:cs="Arial Narrow" w:ascii="Arial Narrow" w:hAnsi="Arial Narrow"/>
          <w:color w:val="FF0000"/>
          <w:sz w:val="18"/>
        </w:rPr>
        <w:t>]</w:t>
      </w:r>
      <w:r>
        <w:rPr>
          <w:rFonts w:cs="Arial Narrow" w:ascii="Arial Narrow" w:hAnsi="Arial Narrow"/>
          <w:sz w:val="18"/>
        </w:rPr>
        <w:t xml:space="preserve"> </w:t>
      </w:r>
      <w:r>
        <w:rPr>
          <w:rFonts w:cs="Arial Narrow" w:ascii="Arial Narrow" w:hAnsi="Arial Narrow"/>
          <w:color w:val="FF0000"/>
          <w:sz w:val="18"/>
        </w:rPr>
        <w:t>[</w:t>
      </w:r>
      <w:r>
        <w:rPr>
          <w:rFonts w:cs="Arial Narrow" w:ascii="Arial Narrow" w:hAnsi="Arial Narrow"/>
          <w:sz w:val="18"/>
        </w:rPr>
        <w:t>ECC shall cause its Credit Support Provider to deliver its Guaranty to Counterparty</w:t>
      </w:r>
      <w:r>
        <w:rPr>
          <w:rFonts w:cs="Arial Narrow" w:ascii="Arial Narrow" w:hAnsi="Arial Narrow"/>
          <w:color w:val="FF0000"/>
          <w:sz w:val="18"/>
        </w:rPr>
        <w:t>]</w:t>
      </w:r>
      <w:r>
        <w:rPr>
          <w:rFonts w:cs="Arial Narrow" w:ascii="Arial Narrow" w:hAnsi="Arial Narrow"/>
          <w:sz w:val="18"/>
        </w:rPr>
        <w:t xml:space="preserve"> </w:t>
      </w:r>
      <w:r>
        <w:rPr>
          <w:rFonts w:cs="Arial Narrow" w:ascii="Arial Narrow" w:hAnsi="Arial Narrow"/>
          <w:color w:val="FF0000"/>
          <w:sz w:val="18"/>
        </w:rPr>
        <w:t>[</w:t>
      </w:r>
      <w:r>
        <w:rPr>
          <w:rFonts w:cs="Arial Narrow" w:ascii="Arial Narrow" w:hAnsi="Arial Narrow"/>
          <w:sz w:val="18"/>
        </w:rPr>
        <w:t xml:space="preserve">and </w:t>
      </w:r>
      <w:r>
        <w:rPr>
          <w:rFonts w:cs="Arial Narrow" w:ascii="Arial Narrow" w:hAnsi="Arial Narrow"/>
          <w:color w:val="000000"/>
          <w:sz w:val="18"/>
        </w:rPr>
        <w:t>each</w:t>
      </w:r>
      <w:r>
        <w:rPr>
          <w:rFonts w:cs="Arial Narrow" w:ascii="Arial Narrow" w:hAnsi="Arial Narrow"/>
          <w:color w:val="FF0000"/>
          <w:sz w:val="18"/>
        </w:rPr>
        <w:t>]</w:t>
      </w:r>
      <w:r>
        <w:rPr>
          <w:rFonts w:cs="Arial Narrow" w:ascii="Arial Narrow" w:hAnsi="Arial Narrow"/>
          <w:color w:val="000000"/>
          <w:sz w:val="18"/>
        </w:rPr>
        <w:t xml:space="preserve"> </w:t>
      </w:r>
      <w:r>
        <w:rPr>
          <w:rFonts w:cs="Arial Narrow" w:ascii="Arial Narrow" w:hAnsi="Arial Narrow"/>
          <w:color w:val="FF0000"/>
          <w:sz w:val="18"/>
        </w:rPr>
        <w:t>[</w:t>
      </w:r>
      <w:r>
        <w:rPr>
          <w:rFonts w:cs="Arial Narrow" w:ascii="Arial Narrow" w:hAnsi="Arial Narrow"/>
          <w:color w:val="000000"/>
          <w:sz w:val="18"/>
        </w:rPr>
        <w:t>Each</w:t>
      </w:r>
      <w:r>
        <w:rPr>
          <w:rFonts w:cs="Arial Narrow" w:ascii="Arial Narrow" w:hAnsi="Arial Narrow"/>
          <w:color w:val="FF0000"/>
          <w:sz w:val="18"/>
        </w:rPr>
        <w:t>]</w:t>
      </w:r>
      <w:r>
        <w:rPr>
          <w:rFonts w:cs="Arial Narrow" w:ascii="Arial Narrow" w:hAnsi="Arial Narrow"/>
          <w:color w:val="000000"/>
          <w:sz w:val="18"/>
        </w:rPr>
        <w:t xml:space="preserve"> party</w:t>
      </w:r>
      <w:r>
        <w:rPr>
          <w:rFonts w:cs="Arial Narrow" w:ascii="Arial Narrow" w:hAnsi="Arial Narrow"/>
          <w:sz w:val="18"/>
        </w:rPr>
        <w:t xml:space="preserve"> shall provide Performance Assurance to the other party as provided in the Credit Support Annex attached as </w:t>
      </w:r>
      <w:r>
        <w:rPr>
          <w:rFonts w:cs="Arial Narrow" w:ascii="Arial Narrow" w:hAnsi="Arial Narrow"/>
          <w:sz w:val="18"/>
          <w:u w:val="single"/>
        </w:rPr>
        <w:t>Annex A</w:t>
      </w:r>
      <w:r>
        <w:rPr>
          <w:rFonts w:cs="Arial Narrow" w:ascii="Arial Narrow" w:hAnsi="Arial Narrow"/>
          <w:sz w:val="18"/>
        </w:rPr>
        <w:t xml:space="preserve"> for all purposes.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9. </w:t>
      </w:r>
      <w:r>
        <w:rPr>
          <w:rFonts w:cs="Arial Narrow" w:ascii="Arial Narrow" w:hAnsi="Arial Narrow"/>
          <w:b/>
          <w:bCs/>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the Agreement or otherwise, any amounts payable by the Defaulting Party to the non-defaulting party or any of its Affiliates under the Agreement or otherwise.  The rights herein granted shall be without prejudice and in addition to any right of setoff, combination of accounts, lien, or other right to which any party is at any time otherwise entitled, whether by operation of law, contract, or otherwise.  Notwithstanding any provision to the contrary contained in the Agreement, the non-defaulting party shall not be required to pay to the Defaulting Party any amount under the Agreement until the non-defaulting party receives confirmation satisfactory to it in its reasonable discretion that all obligations of the Defaulting Party to make any payments to the non-defaulting party or any of its Affiliates under the Agreement or otherwise which are due and payable as of the Early Termination Date hereof have been fully and finally performed.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10. </w:t>
      </w:r>
      <w:r>
        <w:rPr>
          <w:rFonts w:cs="Arial Narrow" w:ascii="Arial Narrow" w:hAnsi="Arial Narrow"/>
          <w:b/>
          <w:bCs/>
          <w:sz w:val="18"/>
          <w:u w:val="single"/>
        </w:rPr>
        <w:t>Confidentiality</w:t>
      </w:r>
      <w:r>
        <w:rPr>
          <w:rFonts w:cs="Arial Narrow" w:ascii="Arial Narrow" w:hAnsi="Arial Narrow"/>
          <w:sz w:val="18"/>
        </w:rPr>
        <w:t>. The contents of the Agreement, and any information made available by one party or its Credit Support Provider, if any, to the other party or its Credit Support Provider, if any, with respect to the Agreement are confidential and shall not be disclosed to any third party (nor shall any public announcement be made by either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party or its Credit Support Provider, if any, in making such disclosure, or (d) as may be furnished to the disclosing party's Affiliates, and to each of such person's auditors, attorneys, advisors, or lenders, which are required to keep the information that is disclosed in confidence.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11. </w:t>
      </w:r>
      <w:r>
        <w:rPr>
          <w:rFonts w:cs="Arial Narrow" w:ascii="Arial Narrow" w:hAnsi="Arial Narrow"/>
          <w:b/>
          <w:bCs/>
          <w:sz w:val="18"/>
          <w:u w:val="single"/>
        </w:rPr>
        <w:t>Severability</w:t>
      </w:r>
      <w:r>
        <w:rPr>
          <w:rFonts w:cs="Arial Narrow" w:ascii="Arial Narrow" w:hAnsi="Arial Narrow"/>
          <w:sz w:val="18"/>
        </w:rPr>
        <w:t>. If any term, provision, covenant, or condition of this Master Agreement, or the application thereof to any party or circumstance, shall be held to be invalid or unenforceable (in whole or in part) for any reason, the remaining terms, provisions, covenants, and conditions hereof shall continue in full force and effect as if this Master Agreement had been executed with the invalid or unenforceable portion eliminated, so long as this Master Agreement, as so modified, continues to express, without material change, the original intentions of the parties as to the subject matter of this Master Agreement and the deletion of such portion of this Master Agreement will not substantially impair the respective benefits or expectations of the parties; provided, this Section 11 shall not be applicable if any provision of the introductory paragraph prior to Section 1 or Sections 2, 5, or 6 (or any related definition) shall be so held to be invalid or unenforceable.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12. </w:t>
      </w:r>
      <w:r>
        <w:rPr>
          <w:rFonts w:cs="Arial Narrow" w:ascii="Arial Narrow" w:hAnsi="Arial Narrow"/>
          <w:b/>
          <w:bCs/>
          <w:sz w:val="18"/>
          <w:u w:val="single"/>
        </w:rPr>
        <w:t>Miscellaneous</w:t>
      </w:r>
      <w:r>
        <w:rPr>
          <w:rFonts w:cs="Arial Narrow" w:ascii="Arial Narrow" w:hAnsi="Arial Narrow"/>
          <w:sz w:val="18"/>
        </w:rPr>
        <w:t xml:space="preserve">. </w:t>
      </w:r>
      <w:r>
        <w:rPr>
          <w:rFonts w:cs="Arial Narrow" w:ascii="Arial Narrow" w:hAnsi="Arial Narrow"/>
          <w:sz w:val="18"/>
          <w:u w:val="single"/>
        </w:rPr>
        <w:t>Governing Law</w:t>
      </w:r>
      <w:r>
        <w:rPr>
          <w:rFonts w:cs="Arial Narrow" w:ascii="Arial Narrow" w:hAnsi="Arial Narrow"/>
          <w:sz w:val="18"/>
        </w:rPr>
        <w:t>. The Agreement shall be governed by, interpreted, and construed in accordance with, the laws of the Province of Alberta and the substantive federal laws of Canada  (excluding conflict of laws principles).  With respect to any suit, action, claim, or proceeding relating to the Agreement ("</w:t>
      </w:r>
      <w:r>
        <w:rPr>
          <w:rFonts w:cs="Arial Narrow" w:ascii="Arial Narrow" w:hAnsi="Arial Narrow"/>
          <w:sz w:val="18"/>
          <w:u w:val="single"/>
        </w:rPr>
        <w:t>Proceedings</w:t>
      </w:r>
      <w:r>
        <w:rPr>
          <w:rFonts w:cs="Arial Narrow" w:ascii="Arial Narrow" w:hAnsi="Arial Narrow"/>
          <w:sz w:val="18"/>
        </w:rPr>
        <w:t>"), neither party (a) waives any objection which it may have at any time to the laying of venue of any Proceedings brought in any court, (b) waives any claim that such Proceedings have been brought in an inconvenient forum, or (c) waives the right to object that a court does not have any jurisdiction over such party.  Nothing in this Agreement precludes either party from bringing Proceedings in any jurisdiction, nor will the bringing of Proceedings in any one or more jurisdictions preclude the bringing of Proceedings in any other jurisdiction.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Binding Effect and Assignments</w:t>
      </w:r>
      <w:r>
        <w:rPr>
          <w:rFonts w:cs="Arial Narrow" w:ascii="Arial Narrow" w:hAnsi="Arial Narrow"/>
          <w:sz w:val="18"/>
        </w:rPr>
        <w:t>. The Agreement shall be binding upon and inure to the benefit of the parties and their respective successors and permitted assigns; provided, neither party shall have the power to assign or otherwise transfer all or any of its rights or obligations under the Agreement without the prior written consent of the other party, which consent shall not be unreasonably withheld or delayed; provided further, either party may assign or transfer its rights and obligations to an Affiliate so long as its obligations are either (a) guaranteed pursuant to a guaranty from an entity and in form and substance satisfactory to the other party, or (b) supported by Performance Assurance or other collateral in an amount and type satisfactory to the other party.  Any purported assignment or transfer in violation of this provision shall be void and of no force and effect.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Entire Agreement, Notices, and Expenses</w:t>
      </w:r>
      <w:r>
        <w:rPr>
          <w:rFonts w:cs="Arial Narrow" w:ascii="Arial Narrow" w:hAnsi="Arial Narrow"/>
          <w:sz w:val="18"/>
        </w:rPr>
        <w:t xml:space="preserve">. The Agreement contains the entire agreement between the parties and supersedes all prior oral or written communications or agreements relating to the subject matter.  All notices in connection with the Agreement may be given during normal business hours by hand delivery (effective upon attempted delivery), overnight mail service (effective upon scheduled weekday delivery day), or facsimile (effective upon receipt of evidence, including telefacsimile evidence, that telefacsimile was received), to the address specified in </w:t>
      </w:r>
      <w:r>
        <w:rPr>
          <w:rFonts w:cs="Arial Narrow" w:ascii="Arial Narrow" w:hAnsi="Arial Narrow"/>
          <w:sz w:val="18"/>
          <w:u w:val="single"/>
        </w:rPr>
        <w:t>Exhibit A</w:t>
      </w:r>
      <w:r>
        <w:rPr>
          <w:rFonts w:cs="Arial Narrow" w:ascii="Arial Narrow" w:hAnsi="Arial Narrow"/>
          <w:sz w:val="18"/>
        </w:rPr>
        <w:t xml:space="preserve"> or as may be subsequently designated by effective notice.  The Agreement may be executed in counterparts (including by facsimile), each of which when executed and delivered shall be deemed to be an original instrument and all of which when taken together shall constitute one and the same agreement.  A Defaulting Party shall reimburse the other party, on demand, for actual, reasonable out-of-pocket expenses (and any interest thereon at the Interest Rate), including, without limitation, reasonable legal fees and expenses incurred by the other party during the occurrence and continuation of the relevant Event of Default in connection with the enforcement, or the preservation, of its rights in respect of the Agreement.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No Waiver of Rights and Survival</w:t>
      </w:r>
      <w:r>
        <w:rPr>
          <w:rFonts w:cs="Arial Narrow" w:ascii="Arial Narrow" w:hAnsi="Arial Narrow"/>
          <w:sz w:val="18"/>
        </w:rPr>
        <w:t>. A failure or delay in exercising any right, power, or privilege in respect of the Agreement, including, without limitation, those set forth in the Credit Support Annex, will not operate as a waiver, and a single or partial exercise of any such right, power, or privilege will not preclude any subsequent or further exercise of that right, power, or privilege or the exercise of any other right, power, or privilege.  Except to the extent otherwise provided in Section 6 as to certain payment obligations terminated under a terminated Transaction, the obligations of the parties under the Agreement will survive the termination of any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u w:val="single"/>
        </w:rPr>
      </w:pPr>
      <w:r>
        <w:rPr>
          <w:rFonts w:cs="Arial Narrow" w:ascii="Arial Narrow" w:hAnsi="Arial Narrow"/>
          <w:sz w:val="18"/>
          <w:u w:val="single"/>
        </w:rPr>
        <w:t>Other Documents to be Delivered</w:t>
      </w:r>
      <w:r>
        <w:rPr>
          <w:rFonts w:cs="Arial Narrow" w:ascii="Arial Narrow" w:hAnsi="Arial Narrow"/>
          <w:sz w:val="18"/>
        </w:rPr>
        <w:t xml:space="preserve">. Concurrently with the execution and delivery of this Master Agreement and any Credit Support Documents, each party shall furnish to the other party a certificate as to the incumbency and specimen signatures of its and its Credit Support Provider's, if any, officers or other authorized representatives executing this Master Agreement and any Credit Support Documents </w:t>
      </w:r>
      <w:r>
        <w:rPr>
          <w:rFonts w:cs="Arial Narrow" w:ascii="Arial Narrow" w:hAnsi="Arial Narrow"/>
          <w:color w:val="FF0000"/>
          <w:sz w:val="18"/>
        </w:rPr>
        <w:t>[</w:t>
      </w:r>
      <w:r>
        <w:rPr>
          <w:rFonts w:cs="Arial Narrow" w:ascii="Arial Narrow" w:hAnsi="Arial Narrow"/>
          <w:color w:val="000000"/>
          <w:sz w:val="18"/>
        </w:rPr>
        <w:t>.</w:t>
      </w:r>
      <w:r>
        <w:rPr>
          <w:rFonts w:cs="Arial Narrow" w:ascii="Arial Narrow" w:hAnsi="Arial Narrow"/>
          <w:sz w:val="18"/>
        </w:rPr>
        <w:t xml:space="preserve"> and certified copies of its partnership agreement.</w:t>
      </w:r>
      <w:r>
        <w:rPr>
          <w:rFonts w:cs="Arial Narrow" w:ascii="Arial Narrow" w:hAnsi="Arial Narrow"/>
          <w:color w:val="FF0000"/>
          <w:sz w:val="18"/>
        </w:rPr>
        <w:t>]</w:t>
      </w:r>
      <w:r>
        <w:rPr>
          <w:rFonts w:cs="Arial Narrow" w:ascii="Arial Narrow" w:hAnsi="Arial Narrow"/>
          <w:sz w:val="18"/>
        </w:rPr>
        <w:t xml:space="preserve">  Each party shall upon written request of the other party, deliver to such party (a) as soon as available and in any event within 120 days after the end of each of its fiscal years, a copy of its </w:t>
      </w:r>
      <w:r>
        <w:rPr>
          <w:rFonts w:cs="Arial Narrow" w:ascii="Arial Narrow" w:hAnsi="Arial Narrow"/>
          <w:color w:val="FF0000"/>
          <w:sz w:val="18"/>
        </w:rPr>
        <w:t>[</w:t>
      </w:r>
      <w:r>
        <w:rPr>
          <w:rFonts w:cs="Arial Narrow" w:ascii="Arial Narrow" w:hAnsi="Arial Narrow"/>
          <w:sz w:val="18"/>
        </w:rPr>
        <w:t>or its Credit Support Provider's</w:t>
      </w:r>
      <w:r>
        <w:rPr>
          <w:rFonts w:cs="Arial Narrow" w:ascii="Arial Narrow" w:hAnsi="Arial Narrow"/>
          <w:color w:val="FF0000"/>
          <w:sz w:val="18"/>
        </w:rPr>
        <w:t>][</w:t>
      </w:r>
      <w:r>
        <w:rPr>
          <w:rFonts w:cs="Arial Narrow" w:ascii="Arial Narrow" w:hAnsi="Arial Narrow"/>
          <w:sz w:val="18"/>
        </w:rPr>
        <w:t>(or in the case of ECC, Enron Corp.'s)</w:t>
      </w:r>
      <w:r>
        <w:rPr>
          <w:rFonts w:cs="Arial Narrow" w:ascii="Arial Narrow" w:hAnsi="Arial Narrow"/>
          <w:color w:val="FF0000"/>
          <w:sz w:val="18"/>
        </w:rPr>
        <w:t>]</w:t>
      </w:r>
      <w:r>
        <w:rPr>
          <w:rFonts w:cs="Arial Narrow" w:ascii="Arial Narrow" w:hAnsi="Arial Narrow"/>
          <w:sz w:val="18"/>
        </w:rPr>
        <w:t xml:space="preserve"> consolidated financial statements for such fiscal year certified by independent public accountants and prepared in accordance with generally accepted accounting principles, and (b) as soon as available and in any event within 60 days after the end of each of its first three fiscal quarters of each fiscal year, copies of its </w:t>
      </w:r>
      <w:r>
        <w:rPr>
          <w:rFonts w:cs="Arial Narrow" w:ascii="Arial Narrow" w:hAnsi="Arial Narrow"/>
          <w:color w:val="FF0000"/>
          <w:sz w:val="18"/>
        </w:rPr>
        <w:t>[</w:t>
      </w:r>
      <w:r>
        <w:rPr>
          <w:rFonts w:cs="Arial Narrow" w:ascii="Arial Narrow" w:hAnsi="Arial Narrow"/>
          <w:sz w:val="18"/>
        </w:rPr>
        <w:t>or its Credit Support Provider's</w:t>
      </w:r>
      <w:r>
        <w:rPr>
          <w:rFonts w:cs="Arial Narrow" w:ascii="Arial Narrow" w:hAnsi="Arial Narrow"/>
          <w:color w:val="FF0000"/>
          <w:sz w:val="18"/>
        </w:rPr>
        <w:t>][</w:t>
      </w:r>
      <w:r>
        <w:rPr>
          <w:rFonts w:cs="Arial Narrow" w:ascii="Arial Narrow" w:hAnsi="Arial Narrow"/>
          <w:sz w:val="18"/>
        </w:rPr>
        <w:t>(or in the case of ECC, Enron Corp.'s)</w:t>
      </w:r>
      <w:r>
        <w:rPr>
          <w:rFonts w:cs="Arial Narrow" w:ascii="Arial Narrow" w:hAnsi="Arial Narrow"/>
          <w:color w:val="FF0000"/>
          <w:sz w:val="18"/>
        </w:rPr>
        <w:t>]</w:t>
      </w:r>
      <w:r>
        <w:rPr>
          <w:rFonts w:cs="Arial Narrow" w:ascii="Arial Narrow" w:hAnsi="Arial Narrow"/>
          <w:sz w:val="18"/>
        </w:rPr>
        <w:t xml:space="preserve"> quarterly unaudited consolidated financial statements for such fiscal quarter prepared in accordance with generally accepted accounting principles, and in each case further with respect to ECC, only if </w:t>
      </w:r>
      <w:r>
        <w:rPr>
          <w:rFonts w:cs="Arial Narrow" w:ascii="Arial Narrow" w:hAnsi="Arial Narrow"/>
          <w:color w:val="FF0000"/>
          <w:sz w:val="18"/>
        </w:rPr>
        <w:t>[</w:t>
      </w:r>
      <w:r>
        <w:rPr>
          <w:rFonts w:cs="Arial Narrow" w:ascii="Arial Narrow" w:hAnsi="Arial Narrow"/>
          <w:sz w:val="18"/>
        </w:rPr>
        <w:t>its Credit Support Provider's</w:t>
      </w:r>
      <w:r>
        <w:rPr>
          <w:rFonts w:cs="Arial Narrow" w:ascii="Arial Narrow" w:hAnsi="Arial Narrow"/>
          <w:color w:val="FF0000"/>
          <w:sz w:val="18"/>
        </w:rPr>
        <w:t>][</w:t>
      </w:r>
      <w:r>
        <w:rPr>
          <w:rFonts w:cs="Arial Narrow" w:ascii="Arial Narrow" w:hAnsi="Arial Narrow"/>
          <w:sz w:val="18"/>
        </w:rPr>
        <w:t>Enron Corp.'s</w:t>
      </w:r>
      <w:r>
        <w:rPr>
          <w:rFonts w:cs="Arial Narrow" w:ascii="Arial Narrow" w:hAnsi="Arial Narrow"/>
          <w:color w:val="FF0000"/>
          <w:sz w:val="18"/>
        </w:rPr>
        <w:t>]</w:t>
      </w:r>
      <w:r>
        <w:rPr>
          <w:rFonts w:cs="Arial Narrow" w:ascii="Arial Narrow" w:hAnsi="Arial Narrow"/>
          <w:sz w:val="18"/>
        </w:rPr>
        <w:t xml:space="preserve"> applicable financial statements are not available on "EDGAR" or </w:t>
      </w:r>
      <w:r>
        <w:rPr>
          <w:rFonts w:cs="Arial Narrow" w:ascii="Arial Narrow" w:hAnsi="Arial Narrow"/>
          <w:color w:val="FF0000"/>
          <w:sz w:val="18"/>
        </w:rPr>
        <w:t>[</w:t>
      </w:r>
      <w:r>
        <w:rPr>
          <w:rFonts w:cs="Arial Narrow" w:ascii="Arial Narrow" w:hAnsi="Arial Narrow"/>
          <w:sz w:val="18"/>
        </w:rPr>
        <w:t>its Credit Support Provider's</w:t>
      </w:r>
      <w:r>
        <w:rPr>
          <w:rFonts w:cs="Arial Narrow" w:ascii="Arial Narrow" w:hAnsi="Arial Narrow"/>
          <w:color w:val="FF0000"/>
          <w:sz w:val="18"/>
        </w:rPr>
        <w:t>][</w:t>
      </w:r>
      <w:r>
        <w:rPr>
          <w:rFonts w:cs="Arial Narrow" w:ascii="Arial Narrow" w:hAnsi="Arial Narrow"/>
          <w:sz w:val="18"/>
        </w:rPr>
        <w:t>Enron Corp.'s</w:t>
      </w:r>
      <w:r>
        <w:rPr>
          <w:rFonts w:cs="Arial Narrow" w:ascii="Arial Narrow" w:hAnsi="Arial Narrow"/>
          <w:color w:val="FF0000"/>
          <w:sz w:val="18"/>
        </w:rPr>
        <w:t xml:space="preserve">] </w:t>
      </w:r>
      <w:r>
        <w:rPr>
          <w:rFonts w:cs="Arial Narrow" w:ascii="Arial Narrow" w:hAnsi="Arial Narrow"/>
          <w:sz w:val="18"/>
        </w:rPr>
        <w:t xml:space="preserve">home page on the World Wide Web at www.enron.com.  </w:t>
      </w:r>
      <w:r>
        <w:rPr>
          <w:rFonts w:cs="Arial Narrow" w:ascii="Arial Narrow" w:hAnsi="Arial Narrow"/>
          <w:color w:val="FF0000"/>
          <w:sz w:val="18"/>
        </w:rPr>
        <w:t>[</w:t>
      </w:r>
      <w:r>
        <w:rPr>
          <w:rFonts w:cs="Arial Narrow" w:ascii="Arial Narrow" w:hAnsi="Arial Narrow"/>
          <w:sz w:val="18"/>
        </w:rPr>
        <w:t xml:space="preserve">Counterparty shall deliver to ENA within 60 days after the end of each fiscal quarter (other than fiscal year end) of Counterparty and 90 days after the end of each fiscal year of Counterparty a copy of the quarterly and annual engineering reports, respectively, which reports evaluate the reserves, including, with particularity, the proved developed producing reserves, owned by Counterparty as of a date not earlier than 60 days prior to the date of such report, prepared by </w:t>
      </w:r>
      <w:r>
        <w:rPr>
          <w:rFonts w:cs="Arial Narrow" w:ascii="Arial Narrow" w:hAnsi="Arial Narrow"/>
          <w:color w:val="FF0000"/>
          <w:sz w:val="18"/>
        </w:rPr>
        <w:t>[</w:t>
      </w:r>
      <w:r>
        <w:rPr>
          <w:rFonts w:cs="Arial Narrow" w:ascii="Arial Narrow" w:hAnsi="Arial Narrow"/>
          <w:sz w:val="18"/>
          <w:u w:val="single"/>
        </w:rPr>
        <w:t>insert name</w:t>
      </w:r>
      <w:r>
        <w:rPr>
          <w:rFonts w:cs="Arial Narrow" w:ascii="Arial Narrow" w:hAnsi="Arial Narrow"/>
          <w:sz w:val="18"/>
        </w:rPr>
        <w:t>, an or such other</w:t>
      </w:r>
      <w:r>
        <w:rPr>
          <w:rFonts w:cs="Arial Narrow" w:ascii="Arial Narrow" w:hAnsi="Arial Narrow"/>
          <w:color w:val="FF0000"/>
          <w:sz w:val="18"/>
        </w:rPr>
        <w:t>]</w:t>
      </w:r>
      <w:r>
        <w:rPr>
          <w:rFonts w:cs="Arial Narrow" w:ascii="Arial Narrow" w:hAnsi="Arial Narrow"/>
          <w:sz w:val="18"/>
        </w:rPr>
        <w:t xml:space="preserve"> independent third party engineering firm that is acceptable to ECC (the "</w:t>
      </w:r>
      <w:r>
        <w:rPr>
          <w:rFonts w:cs="Arial Narrow" w:ascii="Arial Narrow" w:hAnsi="Arial Narrow"/>
          <w:sz w:val="18"/>
          <w:u w:val="single"/>
        </w:rPr>
        <w:t>Engineering Report</w:t>
      </w:r>
      <w:r>
        <w:rPr>
          <w:rFonts w:cs="Arial Narrow" w:ascii="Arial Narrow" w:hAnsi="Arial Narrow"/>
          <w:sz w:val="18"/>
        </w:rPr>
        <w:t>").</w:t>
      </w:r>
      <w:r>
        <w:rPr>
          <w:rFonts w:cs="Arial Narrow" w:ascii="Arial Narrow" w:hAnsi="Arial Narrow"/>
          <w:color w:val="FF0000"/>
          <w:sz w:val="18"/>
        </w:rPr>
        <w:t>]</w:t>
      </w:r>
      <w:r>
        <w:rPr>
          <w:rFonts w:cs="Arial Narrow" w:ascii="Arial Narrow" w:hAnsi="Arial Narrow"/>
          <w:sz w:val="18"/>
        </w:rPr>
        <w:t xml:space="preserve">  With respect to any Transaction, each party shall, upon request, furnish to the other party as soon as practicable such other documents as the other party shall reasonably request.</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rFonts w:ascii="Arial Narrow" w:hAnsi="Arial Narrow" w:cs="Arial Narrow"/>
          <w:sz w:val="18"/>
        </w:rPr>
      </w:pPr>
      <w:r>
        <w:rPr>
          <w:rFonts w:cs="Arial Narrow" w:ascii="Arial Narrow" w:hAnsi="Arial Narrow"/>
          <w:sz w:val="18"/>
          <w:szCs w:val="22"/>
          <w:u w:val="single"/>
        </w:rPr>
        <w:t>Existing Transactions</w:t>
      </w:r>
      <w:r>
        <w:rPr>
          <w:rFonts w:cs="Arial Narrow" w:ascii="Arial Narrow" w:hAnsi="Arial Narrow"/>
          <w:sz w:val="18"/>
          <w:szCs w:val="22"/>
        </w:rPr>
        <w:t>. The parties agree that all Transactions entered into prior to the date hereof (collectively, the "</w:t>
      </w:r>
      <w:r>
        <w:rPr>
          <w:rFonts w:cs="Arial Narrow" w:ascii="Arial Narrow" w:hAnsi="Arial Narrow"/>
          <w:sz w:val="18"/>
          <w:szCs w:val="22"/>
          <w:u w:val="single"/>
        </w:rPr>
        <w:t>Prior Transactions</w:t>
      </w:r>
      <w:r>
        <w:rPr>
          <w:rFonts w:cs="Arial Narrow" w:ascii="Arial Narrow" w:hAnsi="Arial Narrow"/>
          <w:sz w:val="18"/>
          <w:szCs w:val="22"/>
        </w:rPr>
        <w:t>") shall constitute Transactions under and governed by this Master Agreement.  To the extent of any conflict between the provisions of the Prior Transactions and this Master Agreement, the provisions of this Master Agreement shall control.</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13</w:t>
      </w:r>
      <w:r>
        <w:rPr>
          <w:rFonts w:cs="Arial Narrow" w:ascii="Arial Narrow" w:hAnsi="Arial Narrow"/>
          <w:b/>
          <w:bCs/>
          <w:sz w:val="18"/>
        </w:rPr>
        <w:t xml:space="preserve">. </w:t>
      </w:r>
      <w:r>
        <w:rPr>
          <w:rFonts w:cs="Arial Narrow" w:ascii="Arial Narrow" w:hAnsi="Arial Narrow"/>
          <w:b/>
          <w:bCs/>
          <w:sz w:val="18"/>
          <w:u w:val="single"/>
        </w:rPr>
        <w:t>General Definitions</w:t>
      </w:r>
      <w:r>
        <w:rPr>
          <w:rFonts w:cs="Arial Narrow" w:ascii="Arial Narrow" w:hAnsi="Arial Narrow"/>
          <w:sz w:val="18"/>
        </w:rPr>
        <w:t xml:space="preserve">. The following capitalized terms used, but not defined in this Master Agreement, shall have the meanings given such terms in the relevant Confirmation, as applicable:  </w:t>
      </w:r>
      <w:r>
        <w:rPr>
          <w:rFonts w:cs="Arial Narrow" w:ascii="Arial Narrow" w:hAnsi="Arial Narrow"/>
          <w:sz w:val="18"/>
          <w:u w:val="single"/>
        </w:rPr>
        <w:t>Alternative Floating Price Source</w:t>
      </w:r>
      <w:r>
        <w:rPr>
          <w:rFonts w:cs="Arial Narrow" w:ascii="Arial Narrow" w:hAnsi="Arial Narrow"/>
          <w:sz w:val="18"/>
        </w:rPr>
        <w:t xml:space="preserve">, </w:t>
      </w:r>
      <w:r>
        <w:rPr>
          <w:rFonts w:cs="Arial Narrow" w:ascii="Arial Narrow" w:hAnsi="Arial Narrow"/>
          <w:sz w:val="18"/>
          <w:u w:val="single"/>
        </w:rPr>
        <w:t>Buyer</w:t>
      </w:r>
      <w:r>
        <w:rPr>
          <w:rFonts w:cs="Arial Narrow" w:ascii="Arial Narrow" w:hAnsi="Arial Narrow"/>
          <w:sz w:val="18"/>
        </w:rPr>
        <w:t xml:space="preserve">, </w:t>
      </w:r>
      <w:r>
        <w:rPr>
          <w:rFonts w:cs="Arial Narrow" w:ascii="Arial Narrow" w:hAnsi="Arial Narrow"/>
          <w:sz w:val="18"/>
          <w:u w:val="single"/>
        </w:rPr>
        <w:t>Cap Price</w:t>
      </w:r>
      <w:r>
        <w:rPr>
          <w:rFonts w:cs="Arial Narrow" w:ascii="Arial Narrow" w:hAnsi="Arial Narrow"/>
          <w:sz w:val="18"/>
        </w:rPr>
        <w:t xml:space="preserve">, </w:t>
      </w:r>
      <w:r>
        <w:rPr>
          <w:rFonts w:cs="Arial Narrow" w:ascii="Arial Narrow" w:hAnsi="Arial Narrow"/>
          <w:sz w:val="18"/>
          <w:u w:val="single"/>
        </w:rPr>
        <w:t>Cash Settlement</w:t>
      </w:r>
      <w:r>
        <w:rPr>
          <w:rFonts w:cs="Arial Narrow" w:ascii="Arial Narrow" w:hAnsi="Arial Narrow"/>
          <w:sz w:val="18"/>
        </w:rPr>
        <w:t xml:space="preserve">, </w:t>
      </w:r>
      <w:r>
        <w:rPr>
          <w:rFonts w:cs="Arial Narrow" w:ascii="Arial Narrow" w:hAnsi="Arial Narrow"/>
          <w:sz w:val="18"/>
          <w:u w:val="single"/>
        </w:rPr>
        <w:t>Collar</w:t>
      </w:r>
      <w:r>
        <w:rPr>
          <w:rFonts w:cs="Arial Narrow" w:ascii="Arial Narrow" w:hAnsi="Arial Narrow"/>
          <w:sz w:val="18"/>
        </w:rPr>
        <w:t xml:space="preserve">, </w:t>
      </w:r>
      <w:r>
        <w:rPr>
          <w:rFonts w:cs="Arial Narrow" w:ascii="Arial Narrow" w:hAnsi="Arial Narrow"/>
          <w:sz w:val="18"/>
          <w:u w:val="single"/>
        </w:rPr>
        <w:t>Exercise Period</w:t>
      </w:r>
      <w:r>
        <w:rPr>
          <w:rFonts w:cs="Arial Narrow" w:ascii="Arial Narrow" w:hAnsi="Arial Narrow"/>
          <w:sz w:val="18"/>
        </w:rPr>
        <w:t xml:space="preserve">, </w:t>
      </w:r>
      <w:r>
        <w:rPr>
          <w:rFonts w:cs="Arial Narrow" w:ascii="Arial Narrow" w:hAnsi="Arial Narrow"/>
          <w:sz w:val="18"/>
          <w:u w:val="single"/>
        </w:rPr>
        <w:t>Fixed Price Payor</w:t>
      </w:r>
      <w:r>
        <w:rPr>
          <w:rFonts w:cs="Arial Narrow" w:ascii="Arial Narrow" w:hAnsi="Arial Narrow"/>
          <w:sz w:val="18"/>
        </w:rPr>
        <w:t xml:space="preserve">, </w:t>
      </w:r>
      <w:r>
        <w:rPr>
          <w:rFonts w:cs="Arial Narrow" w:ascii="Arial Narrow" w:hAnsi="Arial Narrow"/>
          <w:sz w:val="18"/>
          <w:u w:val="single"/>
        </w:rPr>
        <w:t>Floating Price</w:t>
      </w:r>
      <w:r>
        <w:rPr>
          <w:rFonts w:cs="Arial Narrow" w:ascii="Arial Narrow" w:hAnsi="Arial Narrow"/>
          <w:sz w:val="18"/>
        </w:rPr>
        <w:t xml:space="preserve">, </w:t>
      </w:r>
      <w:r>
        <w:rPr>
          <w:rFonts w:cs="Arial Narrow" w:ascii="Arial Narrow" w:hAnsi="Arial Narrow"/>
          <w:sz w:val="18"/>
          <w:u w:val="single"/>
        </w:rPr>
        <w:t>Floating Price Payor</w:t>
      </w:r>
      <w:r>
        <w:rPr>
          <w:rFonts w:cs="Arial Narrow" w:ascii="Arial Narrow" w:hAnsi="Arial Narrow"/>
          <w:sz w:val="18"/>
        </w:rPr>
        <w:t xml:space="preserve">, </w:t>
      </w:r>
      <w:r>
        <w:rPr>
          <w:rFonts w:cs="Arial Narrow" w:ascii="Arial Narrow" w:hAnsi="Arial Narrow"/>
          <w:sz w:val="18"/>
          <w:u w:val="single"/>
        </w:rPr>
        <w:t>Floating Price Source</w:t>
      </w:r>
      <w:r>
        <w:rPr>
          <w:rFonts w:cs="Arial Narrow" w:ascii="Arial Narrow" w:hAnsi="Arial Narrow"/>
          <w:sz w:val="18"/>
        </w:rPr>
        <w:t xml:space="preserve">, </w:t>
      </w:r>
      <w:r>
        <w:rPr>
          <w:rFonts w:cs="Arial Narrow" w:ascii="Arial Narrow" w:hAnsi="Arial Narrow"/>
          <w:sz w:val="18"/>
          <w:u w:val="single"/>
        </w:rPr>
        <w:t>Floor Price</w:t>
      </w:r>
      <w:r>
        <w:rPr>
          <w:rFonts w:cs="Arial Narrow" w:ascii="Arial Narrow" w:hAnsi="Arial Narrow"/>
          <w:sz w:val="18"/>
        </w:rPr>
        <w:t xml:space="preserve">, </w:t>
      </w:r>
      <w:r>
        <w:rPr>
          <w:rFonts w:cs="Arial Narrow" w:ascii="Arial Narrow" w:hAnsi="Arial Narrow"/>
          <w:sz w:val="18"/>
          <w:u w:val="single"/>
        </w:rPr>
        <w:t>Notional Quantity</w:t>
      </w:r>
      <w:r>
        <w:rPr>
          <w:rFonts w:cs="Arial Narrow" w:ascii="Arial Narrow" w:hAnsi="Arial Narrow"/>
          <w:sz w:val="18"/>
        </w:rPr>
        <w:t xml:space="preserve">, </w:t>
      </w:r>
      <w:r>
        <w:rPr>
          <w:rFonts w:cs="Arial Narrow" w:ascii="Arial Narrow" w:hAnsi="Arial Narrow"/>
          <w:sz w:val="18"/>
          <w:u w:val="single"/>
        </w:rPr>
        <w:t>Premium Payment Date</w:t>
      </w:r>
      <w:r>
        <w:rPr>
          <w:rFonts w:cs="Arial Narrow" w:ascii="Arial Narrow" w:hAnsi="Arial Narrow"/>
          <w:sz w:val="18"/>
        </w:rPr>
        <w:t xml:space="preserve">, </w:t>
      </w:r>
      <w:r>
        <w:rPr>
          <w:rFonts w:cs="Arial Narrow" w:ascii="Arial Narrow" w:hAnsi="Arial Narrow"/>
          <w:sz w:val="18"/>
          <w:u w:val="single"/>
        </w:rPr>
        <w:t>Premium Payor</w:t>
      </w:r>
      <w:r>
        <w:rPr>
          <w:rFonts w:cs="Arial Narrow" w:ascii="Arial Narrow" w:hAnsi="Arial Narrow"/>
          <w:sz w:val="18"/>
        </w:rPr>
        <w:t xml:space="preserve">, </w:t>
      </w:r>
      <w:r>
        <w:rPr>
          <w:rFonts w:cs="Arial Narrow" w:ascii="Arial Narrow" w:hAnsi="Arial Narrow"/>
          <w:sz w:val="18"/>
          <w:u w:val="single"/>
        </w:rPr>
        <w:t>Seller</w:t>
      </w:r>
      <w:r>
        <w:rPr>
          <w:rFonts w:cs="Arial Narrow" w:ascii="Arial Narrow" w:hAnsi="Arial Narrow"/>
          <w:sz w:val="18"/>
        </w:rPr>
        <w:t xml:space="preserve">, </w:t>
      </w:r>
      <w:r>
        <w:rPr>
          <w:rFonts w:cs="Arial Narrow" w:ascii="Arial Narrow" w:hAnsi="Arial Narrow"/>
          <w:sz w:val="18"/>
          <w:u w:val="single"/>
        </w:rPr>
        <w:t>Strike Price Differential</w:t>
      </w:r>
      <w:r>
        <w:rPr>
          <w:rFonts w:cs="Arial Narrow" w:ascii="Arial Narrow" w:hAnsi="Arial Narrow"/>
          <w:sz w:val="18"/>
        </w:rPr>
        <w:t xml:space="preserve">, and </w:t>
      </w:r>
      <w:r>
        <w:rPr>
          <w:rFonts w:cs="Arial Narrow" w:ascii="Arial Narrow" w:hAnsi="Arial Narrow"/>
          <w:sz w:val="18"/>
          <w:u w:val="single"/>
        </w:rPr>
        <w:t>Total Premium</w:t>
      </w:r>
      <w:r>
        <w:rPr>
          <w:rFonts w:cs="Arial Narrow" w:ascii="Arial Narrow" w:hAnsi="Arial Narrow"/>
          <w:sz w:val="18"/>
        </w:rPr>
        <w:t xml:space="preserve">.  As used in the Agreement, </w:t>
      </w:r>
      <w:r>
        <w:rPr>
          <w:rFonts w:cs="Arial Narrow" w:ascii="Arial Narrow" w:hAnsi="Arial Narrow"/>
          <w:i/>
          <w:iCs/>
          <w:sz w:val="18"/>
        </w:rPr>
        <w:t>unless otherwise specified in the relevant Confirmation</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Cs/>
          <w:sz w:val="18"/>
        </w:rPr>
        <w:t>"</w:t>
      </w:r>
      <w:r>
        <w:rPr>
          <w:rFonts w:cs="Arial Narrow" w:ascii="Arial Narrow" w:hAnsi="Arial Narrow"/>
          <w:iCs/>
          <w:sz w:val="18"/>
          <w:u w:val="single"/>
        </w:rPr>
        <w:t>Affiliate</w:t>
      </w:r>
      <w:r>
        <w:rPr>
          <w:rFonts w:cs="Arial Narrow" w:ascii="Arial Narrow" w:hAnsi="Arial Narrow"/>
          <w:iCs/>
          <w:sz w:val="18"/>
        </w:rPr>
        <w:t>" means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American</w:t>
      </w:r>
      <w:r>
        <w:rPr>
          <w:rFonts w:cs="Arial Narrow" w:ascii="Arial Narrow" w:hAnsi="Arial Narrow"/>
          <w:iCs/>
          <w:sz w:val="18"/>
        </w:rPr>
        <w:t>" means an Option pursuant to which the right(s) granted are exercisable on any Business Day during an Exercise Period that consists of more than one day.</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Asian</w:t>
      </w:r>
      <w:r>
        <w:rPr>
          <w:rFonts w:cs="Arial Narrow" w:ascii="Arial Narrow" w:hAnsi="Arial Narrow"/>
          <w:iCs/>
          <w:sz w:val="18"/>
        </w:rPr>
        <w:t>" means an Option pursuant to which the right(s) granted are exercisable only on one day designated as the Exercise Period, the Floating Price for which is the unweighted arithmetic average of the Floating Prices for the Trading Days referenced in the Floating Price Source.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Automatic Exercise</w:t>
      </w:r>
      <w:r>
        <w:rPr>
          <w:rFonts w:cs="Arial Narrow" w:ascii="Arial Narrow" w:hAnsi="Arial Narrow"/>
          <w:iCs/>
          <w:sz w:val="18"/>
        </w:rPr>
        <w:t>" means that if at the close of the Exercise Period the Option has not been exercised, it will be deemed exercised as of that time.  If Automatic Exercise is applicable and the Exercise Period is inapplicable, the Option (including Swaptions) shall be deemed exercised on the first day of the first Calculation Period.</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Business Day</w:t>
      </w:r>
      <w:r>
        <w:rPr>
          <w:rFonts w:cs="Arial Narrow" w:ascii="Arial Narrow" w:hAnsi="Arial Narrow"/>
          <w:iCs/>
          <w:sz w:val="18"/>
        </w:rPr>
        <w:t xml:space="preserve">" means a day on which commercial banks are open for business in New York, New York, Houston, Texas, and in the cities at the location of the parties' addresses specified in </w:t>
      </w:r>
      <w:r>
        <w:rPr>
          <w:rFonts w:cs="Arial Narrow" w:ascii="Arial Narrow" w:hAnsi="Arial Narrow"/>
          <w:iCs/>
          <w:sz w:val="18"/>
          <w:u w:val="single"/>
        </w:rPr>
        <w:t>Exhibit A</w:t>
      </w:r>
      <w:r>
        <w:rPr>
          <w:rFonts w:cs="Arial Narrow" w:ascii="Arial Narrow" w:hAnsi="Arial Narrow"/>
          <w:iCs/>
          <w:sz w:val="18"/>
        </w:rPr>
        <w:t>.</w:t>
      </w:r>
    </w:p>
    <w:p>
      <w:pPr>
        <w:pStyle w:val="Normal"/>
        <w:jc w:val="both"/>
        <w:rPr>
          <w:rFonts w:ascii="Arial Narrow" w:hAnsi="Arial Narrow" w:cs="Arial Narrow"/>
          <w:iCs/>
          <w:sz w:val="18"/>
          <w:vertAlign w:val="subscript"/>
        </w:rPr>
      </w:pPr>
      <w:r>
        <w:rPr>
          <w:rFonts w:cs="Arial Narrow" w:ascii="Arial Narrow" w:hAnsi="Arial Narrow"/>
          <w:iCs/>
          <w:sz w:val="18"/>
          <w:vertAlign w:val="subscript"/>
        </w:rPr>
      </w:r>
    </w:p>
    <w:p>
      <w:pPr>
        <w:pStyle w:val="Normal"/>
        <w:jc w:val="both"/>
        <w:rPr/>
      </w:pPr>
      <w:r>
        <w:rPr>
          <w:rFonts w:cs="Arial Narrow" w:ascii="Arial Narrow" w:hAnsi="Arial Narrow"/>
          <w:iCs/>
          <w:sz w:val="18"/>
        </w:rPr>
        <w:t>"</w:t>
      </w:r>
      <w:r>
        <w:rPr>
          <w:rFonts w:cs="Arial Narrow" w:ascii="Arial Narrow" w:hAnsi="Arial Narrow"/>
          <w:iCs/>
          <w:sz w:val="18"/>
          <w:u w:val="single"/>
        </w:rPr>
        <w:t>Calculation Period</w:t>
      </w:r>
      <w:r>
        <w:rPr>
          <w:rFonts w:cs="Arial Narrow" w:ascii="Arial Narrow" w:hAnsi="Arial Narrow"/>
          <w:iCs/>
          <w:sz w:val="18"/>
        </w:rPr>
        <w:t>" means each period from and including the first date specified as being included in such period to and including the last date specified as being included in such period.  If such period is a calendar month, the period commences on the first day of the month and it ends on the last day of the month.</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Cap Amount</w:t>
      </w:r>
      <w:r>
        <w:rPr>
          <w:rFonts w:cs="Arial Narrow" w:ascii="Arial Narrow" w:hAnsi="Arial Narrow"/>
          <w:iCs/>
          <w:sz w:val="18"/>
        </w:rPr>
        <w:t>" means an amount equal to the product of the Notional Quantity per Calculation Period multiplied by the Cap Price.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Cash Settlement Amount</w:t>
      </w:r>
      <w:r>
        <w:rPr>
          <w:rFonts w:cs="Arial Narrow" w:ascii="Arial Narrow" w:hAnsi="Arial Narrow"/>
          <w:iCs/>
          <w:sz w:val="18"/>
        </w:rPr>
        <w:t>" means, as to any Option to which Cash Settlement is applicable, the amount payable on a Payment Date equal to (a) in respect of an Option other than a Swaption, an amount calculated as follows:  Cash Settlement Amount = Notional Quantity X Strike Price Differential, or (b) in respect of a Swaption, an amount determined as specified in the relevant Confirmation.</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Costs</w:t>
      </w:r>
      <w:r>
        <w:rPr>
          <w:rFonts w:cs="Arial Narrow" w:ascii="Arial Narrow" w:hAnsi="Arial Narrow"/>
          <w:iCs/>
          <w:sz w:val="18"/>
        </w:rPr>
        <w:t>" means brokerage fees, commissions, and other similar transaction costs and expenses reasonably incurred by a party either in terminating any arrangement pursuant to which it has hedged its obligations or entering into new arrangements that replace a terminated Transaction.</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Credit Support Annex</w:t>
      </w:r>
      <w:r>
        <w:rPr>
          <w:rFonts w:cs="Arial Narrow" w:ascii="Arial Narrow" w:hAnsi="Arial Narrow"/>
          <w:iCs/>
          <w:sz w:val="18"/>
        </w:rPr>
        <w:t xml:space="preserve">" means the </w:t>
      </w:r>
      <w:r>
        <w:rPr>
          <w:rFonts w:cs="Arial Narrow" w:ascii="Arial Narrow" w:hAnsi="Arial Narrow"/>
          <w:iCs/>
          <w:sz w:val="18"/>
          <w:u w:val="single"/>
        </w:rPr>
        <w:t>Annex A</w:t>
      </w:r>
      <w:r>
        <w:rPr>
          <w:rFonts w:cs="Arial Narrow" w:ascii="Arial Narrow" w:hAnsi="Arial Narrow"/>
          <w:iCs/>
          <w:sz w:val="18"/>
        </w:rPr>
        <w:t xml:space="preserve"> attached to this Master Agreement and made a part hereof.  The Credit Support Annex shall prevail in the event of any inconsistency between it and the provisions of any agreement, annex, or schedule relating to the requirements for the delivery and maintenance of Performance Assurance that is part of any Confirmation.</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Credit Support Documents</w:t>
      </w:r>
      <w:r>
        <w:rPr>
          <w:rFonts w:cs="Arial Narrow" w:ascii="Arial Narrow" w:hAnsi="Arial Narrow"/>
          <w:iCs/>
          <w:sz w:val="18"/>
        </w:rPr>
        <w:t>" means any Guaranty, letter of credit, security agreement, the Credit Support Annex, and any other credit support document required by, or provided pursuant to, the Agreement.</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Credit Support Provide</w:t>
      </w:r>
      <w:r>
        <w:rPr>
          <w:rFonts w:cs="Arial Narrow" w:ascii="Arial Narrow" w:hAnsi="Arial Narrow"/>
          <w:iCs/>
          <w:sz w:val="18"/>
        </w:rPr>
        <w:t xml:space="preserve">r" </w:t>
      </w:r>
      <w:r>
        <w:rPr>
          <w:rFonts w:cs="Arial Narrow" w:ascii="Arial Narrow" w:hAnsi="Arial Narrow"/>
          <w:iCs/>
          <w:color w:val="FF0000"/>
          <w:sz w:val="18"/>
        </w:rPr>
        <w:t>[</w:t>
      </w:r>
      <w:r>
        <w:rPr>
          <w:rFonts w:cs="Arial Narrow" w:ascii="Arial Narrow" w:hAnsi="Arial Narrow"/>
          <w:iCs/>
          <w:sz w:val="18"/>
        </w:rPr>
        <w:t xml:space="preserve">means, with respect to ECC, </w:t>
      </w:r>
      <w:r>
        <w:rPr>
          <w:rFonts w:cs="Arial Narrow" w:ascii="Arial Narrow" w:hAnsi="Arial Narrow"/>
          <w:iCs/>
          <w:color w:val="FF0000"/>
          <w:sz w:val="18"/>
        </w:rPr>
        <w:t>[</w:t>
      </w:r>
      <w:r>
        <w:rPr>
          <w:rFonts w:cs="Arial Narrow" w:ascii="Arial Narrow" w:hAnsi="Arial Narrow"/>
          <w:iCs/>
          <w:sz w:val="18"/>
        </w:rPr>
        <w:t>not applicable</w:t>
      </w:r>
      <w:r>
        <w:rPr>
          <w:rFonts w:cs="Arial Narrow" w:ascii="Arial Narrow" w:hAnsi="Arial Narrow"/>
          <w:iCs/>
          <w:color w:val="FF0000"/>
          <w:sz w:val="18"/>
        </w:rPr>
        <w:t>]</w:t>
      </w:r>
      <w:r>
        <w:rPr>
          <w:rFonts w:cs="Arial Narrow" w:ascii="Arial Narrow" w:hAnsi="Arial Narrow"/>
          <w:iCs/>
          <w:sz w:val="18"/>
        </w:rPr>
        <w:t xml:space="preserve"> </w:t>
      </w:r>
      <w:r>
        <w:rPr>
          <w:rFonts w:cs="Arial Narrow" w:ascii="Arial Narrow" w:hAnsi="Arial Narrow"/>
          <w:iCs/>
          <w:color w:val="FF0000"/>
          <w:sz w:val="18"/>
        </w:rPr>
        <w:t>[</w:t>
      </w:r>
      <w:r>
        <w:rPr>
          <w:rFonts w:cs="Arial Narrow" w:ascii="Arial Narrow" w:hAnsi="Arial Narrow"/>
          <w:iCs/>
          <w:sz w:val="18"/>
        </w:rPr>
        <w:t>Enron Corp.</w:t>
      </w:r>
      <w:r>
        <w:rPr>
          <w:rFonts w:cs="Arial Narrow" w:ascii="Arial Narrow" w:hAnsi="Arial Narrow"/>
          <w:iCs/>
          <w:color w:val="FF0000"/>
          <w:sz w:val="18"/>
        </w:rPr>
        <w:t>]</w:t>
      </w:r>
      <w:r>
        <w:rPr>
          <w:rFonts w:cs="Arial Narrow" w:ascii="Arial Narrow" w:hAnsi="Arial Narrow"/>
          <w:iCs/>
          <w:sz w:val="18"/>
        </w:rPr>
        <w:t xml:space="preserve">, and with respect to Counterparty, </w:t>
      </w:r>
      <w:r>
        <w:rPr>
          <w:rFonts w:cs="Arial Narrow" w:ascii="Arial Narrow" w:hAnsi="Arial Narrow"/>
          <w:iCs/>
          <w:color w:val="FF0000"/>
          <w:sz w:val="18"/>
        </w:rPr>
        <w:t>[</w:t>
      </w:r>
      <w:r>
        <w:rPr>
          <w:rFonts w:cs="Arial Narrow" w:ascii="Arial Narrow" w:hAnsi="Arial Narrow"/>
          <w:iCs/>
          <w:sz w:val="18"/>
        </w:rPr>
        <w:t>_________________</w:t>
      </w:r>
      <w:r>
        <w:rPr>
          <w:rFonts w:cs="Arial Narrow" w:ascii="Arial Narrow" w:hAnsi="Arial Narrow"/>
          <w:iCs/>
          <w:color w:val="FF0000"/>
          <w:sz w:val="18"/>
        </w:rPr>
        <w:t>]</w:t>
      </w:r>
      <w:r>
        <w:rPr>
          <w:rFonts w:cs="Arial Narrow" w:ascii="Arial Narrow" w:hAnsi="Arial Narrow"/>
          <w:iCs/>
          <w:sz w:val="18"/>
        </w:rPr>
        <w:t xml:space="preserve"> </w:t>
      </w:r>
      <w:r>
        <w:rPr>
          <w:rFonts w:cs="Arial Narrow" w:ascii="Arial Narrow" w:hAnsi="Arial Narrow"/>
          <w:iCs/>
          <w:color w:val="FF0000"/>
          <w:sz w:val="18"/>
        </w:rPr>
        <w:t>[</w:t>
      </w:r>
      <w:r>
        <w:rPr>
          <w:rFonts w:cs="Arial Narrow" w:ascii="Arial Narrow" w:hAnsi="Arial Narrow"/>
          <w:iCs/>
          <w:sz w:val="18"/>
        </w:rPr>
        <w:t>not applicable</w:t>
      </w:r>
      <w:r>
        <w:rPr>
          <w:rFonts w:cs="Arial Narrow" w:ascii="Arial Narrow" w:hAnsi="Arial Narrow"/>
          <w:iCs/>
          <w:color w:val="FF0000"/>
          <w:sz w:val="18"/>
        </w:rPr>
        <w:t>]</w:t>
      </w:r>
      <w:r>
        <w:rPr>
          <w:rFonts w:cs="Arial Narrow" w:ascii="Arial Narrow" w:hAnsi="Arial Narrow"/>
          <w:iCs/>
          <w:sz w:val="18"/>
        </w:rPr>
        <w:t>.</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European</w:t>
      </w:r>
      <w:r>
        <w:rPr>
          <w:rFonts w:cs="Arial Narrow" w:ascii="Arial Narrow" w:hAnsi="Arial Narrow"/>
          <w:iCs/>
          <w:sz w:val="18"/>
        </w:rPr>
        <w:t>" means an Option pursuant to which the right(s) granted are exercisable only on one day designated as the Exercise Period.</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Event of Change</w:t>
      </w:r>
      <w:r>
        <w:rPr>
          <w:rFonts w:cs="Arial Narrow" w:ascii="Arial Narrow" w:hAnsi="Arial Narrow"/>
          <w:iCs/>
          <w:sz w:val="18"/>
        </w:rPr>
        <w:t>" means the enactment, promulgation, execution, or ratification of, or any change in or amendment to, any law, rule, or regulation (or the application or interpretation of any law, rule, or regulation) that occurs after the Trade Date of a Transaction which would result in (a) the imposition of a withholding tax in a material amount by any government or taxing authority upon the making of payments (other than payments of interest) hereunder by either of the parties with respect to such Transaction or (b) the performance of any obligation under the Agreement of either of the parties or its Credit Support Provider, if any, being unlawful.</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Fixed Amount</w:t>
      </w:r>
      <w:r>
        <w:rPr>
          <w:rFonts w:cs="Arial Narrow" w:ascii="Arial Narrow" w:hAnsi="Arial Narrow"/>
          <w:iCs/>
          <w:sz w:val="18"/>
        </w:rPr>
        <w:t>" means an amount equal to the product of the Notional Quantity per Calculation Period multiplied by the Fixed Price.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Floating Amoun</w:t>
      </w:r>
      <w:r>
        <w:rPr>
          <w:rFonts w:cs="Arial Narrow" w:ascii="Arial Narrow" w:hAnsi="Arial Narrow"/>
          <w:iCs/>
          <w:sz w:val="18"/>
        </w:rPr>
        <w:t>t" means an amount equal to the product of the Notional Quantity per Calculation Period multiplied by the Floating Price.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Floor Amount</w:t>
      </w:r>
      <w:r>
        <w:rPr>
          <w:rFonts w:cs="Arial Narrow" w:ascii="Arial Narrow" w:hAnsi="Arial Narrow"/>
          <w:iCs/>
          <w:sz w:val="18"/>
        </w:rPr>
        <w:t>" means an amount equal to the product of (a) the Notional Quantity per Calculation Period multiplied by (b) the Floor Price.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Gain</w:t>
      </w:r>
      <w:r>
        <w:rPr>
          <w:rFonts w:cs="Arial Narrow" w:ascii="Arial Narrow" w:hAnsi="Arial Narrow"/>
          <w:iCs/>
          <w:sz w:val="18"/>
        </w:rPr>
        <w:t>" means an amount equal to the present value of the economic benefit (exclusive of Costs) to a party resulting from the termination of its obligations with respect to a terminated Transaction, determined in a commercially reasonable manner.  A party shall determine its Gain as of the relevant Early Termination Date or Accelerated Termination Date or, if that is not reasonably practicable, as of the earliest date thereafter as is reasonably practicable.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color w:val="FF0000"/>
          <w:sz w:val="18"/>
        </w:rPr>
        <w:t>[</w:t>
      </w:r>
      <w:r>
        <w:rPr>
          <w:rFonts w:cs="Arial Narrow" w:ascii="Arial Narrow" w:hAnsi="Arial Narrow"/>
          <w:iCs/>
          <w:sz w:val="18"/>
        </w:rPr>
        <w:t>"</w:t>
      </w:r>
      <w:r>
        <w:rPr>
          <w:rFonts w:cs="Arial Narrow" w:ascii="Arial Narrow" w:hAnsi="Arial Narrow"/>
          <w:iCs/>
          <w:sz w:val="18"/>
          <w:u w:val="single"/>
        </w:rPr>
        <w:t>Guaranty</w:t>
      </w:r>
      <w:r>
        <w:rPr>
          <w:rFonts w:cs="Arial Narrow" w:ascii="Arial Narrow" w:hAnsi="Arial Narrow"/>
          <w:iCs/>
          <w:sz w:val="18"/>
        </w:rPr>
        <w:t xml:space="preserve">" means, </w:t>
      </w:r>
      <w:r>
        <w:rPr>
          <w:rFonts w:cs="Arial Narrow" w:ascii="Arial Narrow" w:hAnsi="Arial Narrow"/>
          <w:iCs/>
          <w:color w:val="FF0000"/>
          <w:sz w:val="18"/>
        </w:rPr>
        <w:t>[</w:t>
      </w:r>
      <w:r>
        <w:rPr>
          <w:rFonts w:cs="Arial Narrow" w:ascii="Arial Narrow" w:hAnsi="Arial Narrow"/>
          <w:iCs/>
          <w:sz w:val="18"/>
        </w:rPr>
        <w:t xml:space="preserve">with respect to ECC, the guaranty dated as of the date hereof by ECC's Credit Support Provider in favor of Counterparty in the form attached hereto as </w:t>
      </w:r>
      <w:r>
        <w:rPr>
          <w:rFonts w:cs="Arial Narrow" w:ascii="Arial Narrow" w:hAnsi="Arial Narrow"/>
          <w:iCs/>
          <w:sz w:val="18"/>
          <w:u w:val="single"/>
        </w:rPr>
        <w:t>Exhibit B-1</w:t>
      </w:r>
      <w:r>
        <w:rPr>
          <w:rFonts w:cs="Arial Narrow" w:ascii="Arial Narrow" w:hAnsi="Arial Narrow"/>
          <w:iCs/>
          <w:sz w:val="18"/>
        </w:rPr>
        <w:t xml:space="preserve">, and with respect to Counterparty the guaranty dated as of the date hereof by Counterparty's Credit Support Provider in favor of ECC in the form attached hereto as </w:t>
      </w:r>
      <w:r>
        <w:rPr>
          <w:rFonts w:cs="Arial Narrow" w:ascii="Arial Narrow" w:hAnsi="Arial Narrow"/>
          <w:iCs/>
          <w:sz w:val="18"/>
          <w:u w:val="single"/>
        </w:rPr>
        <w:t>Exhibit B-2</w:t>
      </w:r>
      <w:r>
        <w:rPr>
          <w:rFonts w:cs="Arial Narrow" w:ascii="Arial Narrow" w:hAnsi="Arial Narrow"/>
          <w:iCs/>
          <w:sz w:val="18"/>
        </w:rPr>
        <w:t>.</w:t>
      </w:r>
      <w:r>
        <w:rPr>
          <w:rFonts w:cs="Arial Narrow" w:ascii="Arial Narrow" w:hAnsi="Arial Narrow"/>
          <w:iCs/>
          <w:color w:val="FF0000"/>
          <w:sz w:val="18"/>
        </w:rPr>
        <w:t>]  [</w:t>
      </w:r>
      <w:r>
        <w:rPr>
          <w:rFonts w:cs="Arial Narrow" w:ascii="Arial Narrow" w:hAnsi="Arial Narrow"/>
          <w:iCs/>
          <w:color w:val="000000"/>
          <w:sz w:val="18"/>
        </w:rPr>
        <w:t>Use guaranty forms for Exhibit Bs, as necessary.</w:t>
      </w:r>
      <w:r>
        <w:rPr>
          <w:rFonts w:cs="Arial Narrow" w:ascii="Arial Narrow" w:hAnsi="Arial Narrow"/>
          <w:iCs/>
          <w:color w:val="FF0000"/>
          <w:sz w:val="18"/>
        </w:rPr>
        <w:t>]]</w:t>
      </w:r>
    </w:p>
    <w:p>
      <w:pPr>
        <w:pStyle w:val="Normal"/>
        <w:jc w:val="both"/>
        <w:rPr>
          <w:rFonts w:ascii="Arial Narrow" w:hAnsi="Arial Narrow" w:cs="Arial Narrow"/>
          <w:iCs/>
          <w:color w:val="FF0000"/>
          <w:sz w:val="18"/>
        </w:rPr>
      </w:pPr>
      <w:r>
        <w:rPr>
          <w:rFonts w:cs="Arial Narrow" w:ascii="Arial Narrow" w:hAnsi="Arial Narrow"/>
          <w:iCs/>
          <w:color w:val="FF0000"/>
          <w:sz w:val="18"/>
        </w:rPr>
      </w:r>
    </w:p>
    <w:p>
      <w:pPr>
        <w:pStyle w:val="Normal"/>
        <w:jc w:val="both"/>
        <w:rPr/>
      </w:pPr>
      <w:r>
        <w:rPr>
          <w:rFonts w:cs="Arial Narrow" w:ascii="Arial Narrow" w:hAnsi="Arial Narrow"/>
          <w:iCs/>
          <w:sz w:val="18"/>
        </w:rPr>
        <w:t>"</w:t>
      </w:r>
      <w:r>
        <w:rPr>
          <w:rFonts w:cs="Arial Narrow" w:ascii="Arial Narrow" w:hAnsi="Arial Narrow"/>
          <w:iCs/>
          <w:sz w:val="18"/>
          <w:u w:val="single"/>
        </w:rPr>
        <w:t>Insolvency Event</w:t>
      </w:r>
      <w:r>
        <w:rPr>
          <w:rFonts w:cs="Arial Narrow" w:ascii="Arial Narrow" w:hAnsi="Arial Narrow"/>
          <w:iCs/>
          <w:sz w:val="18"/>
        </w:rPr>
        <w:t>" means, with respect to any party, any of the following:  (a) the party or its Credit Support Provider, if any, is insolvent, or generally does not or is not able to pay its debts as they become due, or admits in writing its inability to pay its debts generally as they become due; (b) the party or its Credit Support Provider, if any, applies for or consents to the appointment of a receiver, custodian, conservator, trustee, liquidator, administrator, or other similar official for itself or for all or a substantial part of its property, makes a general assignment for the benefit of its creditors, commences a proceeding under applicable bankruptcy law or other law for the relief of debtors, files a petition seeking to take advantage of any other law relating to bankruptcy, insolvency, reorganization, winding-up, or composition or readjustment of debts, or a trustee, custodian, conservator, receiver, or similar official is appointed for it, or for a substantial part of its property; (c) the party or its Credit Support Provider, if any, consents to the dissolution or winding up of its affairs (other than pursuant to a consolidation, amalgamation, or merger); (d) the party or its Credit Support Provider, if any, takes any corporate or other appropriate organizational action to authorize any of the actions described in clauses (a), (b) or (c) above; or (e) any involuntary bankruptcy, reorganization, debt arrangement, or other proceeding under any applicable bankruptcy, insolvency, or other similar law for the relief of debtors, or any dissolution or liquidation proceeding is instituted against the party, or any material event comparable to any of the foregoing occurs, and the party or its Credit Support Provider, if any, fails to controvert such proceeding in a timely and appropriate manner or such proceeding is consented to or acquiesced in by the party or remains for 30 days undismissed, or an order for relief against the party or its Credit Support Provider, if any, is entered under applicable bankruptcy law or other law for the relief of debtors.</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Interest Rate</w:t>
      </w:r>
      <w:r>
        <w:rPr>
          <w:rFonts w:cs="Arial Narrow" w:ascii="Arial Narrow" w:hAnsi="Arial Narrow"/>
          <w:iCs/>
          <w:sz w:val="18"/>
        </w:rPr>
        <w:t>" means (a) with respect to a non-defaulting party, a per annum rate of interest equal to the prime lending rate as may from time to time be announced by Royal Bank of Canada as its "Prime Rate" for commercial loans by the administrative body charged with the responsibility for establishing such rate, and (b) with respect to a Defaulting Party, a per annum rate of interest equal to two percent over such "Prime Rate;" provided, in either case the Interest Rate shall not exceed the maximum interest rate that at any time or from time to time may be contracted for, taken, reserved, charged, or received under applicable law.  An Interest Rate expressed as an annual rate shall, to comply with applicable law, be equivalent to such interest rate multiplied by the actual number of days in the calendar year in which the same is to be determined and divided by 365/366, as the case may be.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Loss</w:t>
      </w:r>
      <w:r>
        <w:rPr>
          <w:rFonts w:cs="Arial Narrow" w:ascii="Arial Narrow" w:hAnsi="Arial Narrow"/>
          <w:iCs/>
          <w:sz w:val="18"/>
        </w:rPr>
        <w:t>" means an amount equal to the present value of the economic loss (exclusive of Costs) to a party resulting from the termination of its obligations with respect to a terminated Transaction, determined in a commercially reasonable manner.  A party shall determine its Loss as of the relevant Early Termination Date or Accelerated Termination Date or, if that is not reasonably practicable, as of the earliest date thereafter as is reasonably practicable.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Market Disruption Event</w:t>
      </w:r>
      <w:r>
        <w:rPr>
          <w:rFonts w:cs="Arial Narrow" w:ascii="Arial Narrow" w:hAnsi="Arial Narrow"/>
          <w:iCs/>
          <w:sz w:val="18"/>
        </w:rPr>
        <w:t>" means, with respect to a Floating Price Source, any of the following events (the existence of which shall be determined in good faith by ECC):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acting as the Floating Price Source (the "</w:t>
      </w:r>
      <w:r>
        <w:rPr>
          <w:rFonts w:cs="Arial Narrow" w:ascii="Arial Narrow" w:hAnsi="Arial Narrow"/>
          <w:iCs/>
          <w:sz w:val="18"/>
          <w:u w:val="single"/>
        </w:rPr>
        <w:t>Exchange</w:t>
      </w:r>
      <w:r>
        <w:rPr>
          <w:rFonts w:cs="Arial Narrow" w:ascii="Arial Narrow" w:hAnsi="Arial Narrow"/>
          <w:iCs/>
          <w:sz w:val="18"/>
        </w:rPr>
        <w:t>");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Merger Event</w:t>
      </w:r>
      <w:r>
        <w:rPr>
          <w:rFonts w:cs="Arial Narrow" w:ascii="Arial Narrow" w:hAnsi="Arial Narrow"/>
          <w:iCs/>
          <w:sz w:val="18"/>
        </w:rPr>
        <w:t>" means, with respect to a party or its Credit Support Provider, if any (in each case, "X"), the consolidation or amalgamation with, merger with or into, or transfer of all or substantially all of its assets to, another entity and (a) at the time of such consolidation, amalgamation, merger, or transfer, the resulting, surviving, or transferee entity fails to assume all the obligations of X under the Agreement to which it or its predecessor was a party by operation of law or pursuant to an agreement reasonably satisfactory to the other party; (b) the creditworthiness of the resulting, surviving, or transferee entity is materially weaker, in the reasonable opinion of the other party, than that of X, immediately prior to such action; or (c) at the time of such consolidation, amalgamation, merger, or transfer, the benefits of any Credit Support Document fail to extend (without the consent of the other party) to the performance by such resulting, surviving, or transferee entity of the obligations of X under the Agreement; provided, the events specified in this definition shall not constitute a "Merger Event" with respect to ECC or Counterparty, as the case may be (the "</w:t>
      </w:r>
      <w:r>
        <w:rPr>
          <w:rFonts w:cs="Arial Narrow" w:ascii="Arial Narrow" w:hAnsi="Arial Narrow"/>
          <w:iCs/>
          <w:sz w:val="18"/>
          <w:u w:val="single"/>
        </w:rPr>
        <w:t>Affected Party</w:t>
      </w:r>
      <w:r>
        <w:rPr>
          <w:rFonts w:cs="Arial Narrow" w:ascii="Arial Narrow" w:hAnsi="Arial Narrow"/>
          <w:iCs/>
          <w:sz w:val="18"/>
        </w:rPr>
        <w:t>"), if (i) the resulting, surviving, or transferee entity of such Affected Party assumes all of the obligations of such Affected Party under the Agreement by operation of law or pursuant to an agreement reasonably satisfactory to the other party and (ii) the resulting, surviving, or transferee entity is incorporated in Canada and is directly or indirectly owned by the Affected Party's Credit Support Provider, if any, and all Credit Support Documents provided by such Credit Support Provider, if any, remain in full force and effect after such event, or the Affected Party establishes and maintains Performance Assurance or other collateral, in an amount satisfactory to the other party within two Business Days of such party's written request.</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Notice of Exercise</w:t>
      </w:r>
      <w:r>
        <w:rPr>
          <w:rFonts w:cs="Arial Narrow" w:ascii="Arial Narrow" w:hAnsi="Arial Narrow"/>
          <w:iCs/>
          <w:sz w:val="18"/>
        </w:rPr>
        <w:t>" means, in respect of an Option (or Swaption), irrevocable notice given by Buyer to Seller (which may be given orally, including by telephone) of exercise of the right(s) granted pursuant to the Option prior to noon Central time on any Business Day during the Exercise Period.</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Option</w:t>
      </w:r>
      <w:r>
        <w:rPr>
          <w:rFonts w:cs="Arial Narrow" w:ascii="Arial Narrow" w:hAnsi="Arial Narrow"/>
          <w:iCs/>
          <w:sz w:val="18"/>
        </w:rPr>
        <w:t>" means any Transaction that is a call, cap, floor, put, or Swaption, or is identified in the relevant Confirmation as an Option.</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color w:val="FF0000"/>
          <w:sz w:val="18"/>
        </w:rPr>
        <w:t>[</w:t>
      </w:r>
      <w:r>
        <w:rPr>
          <w:rFonts w:cs="Arial Narrow" w:ascii="Arial Narrow" w:hAnsi="Arial Narrow"/>
          <w:iCs/>
          <w:color w:val="000000"/>
          <w:sz w:val="18"/>
        </w:rPr>
        <w:t>"</w:t>
      </w:r>
      <w:r>
        <w:rPr>
          <w:rFonts w:cs="Arial Narrow" w:ascii="Arial Narrow" w:hAnsi="Arial Narrow"/>
          <w:iCs/>
          <w:color w:val="000000"/>
          <w:sz w:val="18"/>
          <w:u w:val="single"/>
        </w:rPr>
        <w:t>Partnership Event</w:t>
      </w:r>
      <w:r>
        <w:rPr>
          <w:rFonts w:cs="Arial Narrow" w:ascii="Arial Narrow" w:hAnsi="Arial Narrow"/>
          <w:iCs/>
          <w:color w:val="000000"/>
          <w:sz w:val="18"/>
        </w:rPr>
        <w:t>" means __________________ ceases to be the general partner of Counterparty or ceases to be liable to ECC at any time and for any reason for all present and future obligations owed by Counterparty to ECC hereunder.</w:t>
      </w:r>
      <w:r>
        <w:rPr>
          <w:rFonts w:cs="Arial Narrow" w:ascii="Arial Narrow" w:hAnsi="Arial Narrow"/>
          <w:iCs/>
          <w:color w:val="FF0000"/>
          <w:sz w:val="18"/>
        </w:rPr>
        <w:t>]</w:t>
      </w:r>
    </w:p>
    <w:p>
      <w:pPr>
        <w:pStyle w:val="Normal"/>
        <w:jc w:val="both"/>
        <w:rPr>
          <w:rFonts w:ascii="Arial Narrow" w:hAnsi="Arial Narrow" w:cs="Arial Narrow"/>
          <w:iCs/>
          <w:color w:val="FF0000"/>
          <w:sz w:val="18"/>
        </w:rPr>
      </w:pPr>
      <w:r>
        <w:rPr>
          <w:rFonts w:cs="Arial Narrow" w:ascii="Arial Narrow" w:hAnsi="Arial Narrow"/>
          <w:iCs/>
          <w:color w:val="FF0000"/>
          <w:sz w:val="18"/>
        </w:rPr>
      </w:r>
    </w:p>
    <w:p>
      <w:pPr>
        <w:pStyle w:val="Normal"/>
        <w:jc w:val="both"/>
        <w:rPr/>
      </w:pPr>
      <w:r>
        <w:rPr>
          <w:rFonts w:cs="Arial Narrow" w:ascii="Arial Narrow" w:hAnsi="Arial Narrow"/>
          <w:iCs/>
          <w:sz w:val="18"/>
        </w:rPr>
        <w:t>"</w:t>
      </w:r>
      <w:r>
        <w:rPr>
          <w:rFonts w:cs="Arial Narrow" w:ascii="Arial Narrow" w:hAnsi="Arial Narrow"/>
          <w:iCs/>
          <w:sz w:val="18"/>
          <w:u w:val="single"/>
        </w:rPr>
        <w:t>Payment Date</w:t>
      </w:r>
      <w:r>
        <w:rPr>
          <w:rFonts w:cs="Arial Narrow" w:ascii="Arial Narrow" w:hAnsi="Arial Narrow"/>
          <w:iCs/>
          <w:sz w:val="18"/>
        </w:rPr>
        <w:t>" means, with respect to each Transaction, the fifth (5th) Business Day after the Floating Price is determinable; provided, if the Payment Date is an Accelerated Termination Date or an Early Termination Date, the Payment Date with respect thereto shall be the date amounts are payable pursuant to Sections 6 or 7, as applicable.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Performance Assurance</w:t>
      </w:r>
      <w:r>
        <w:rPr>
          <w:rFonts w:cs="Arial Narrow" w:ascii="Arial Narrow" w:hAnsi="Arial Narrow"/>
          <w:iCs/>
          <w:sz w:val="18"/>
        </w:rPr>
        <w:t>" has the meaning set forth in the Credit Support Annex.</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Reference Market-Makers</w:t>
      </w:r>
      <w:r>
        <w:rPr>
          <w:rFonts w:cs="Arial Narrow" w:ascii="Arial Narrow" w:hAnsi="Arial Narrow"/>
          <w:iCs/>
          <w:sz w:val="18"/>
        </w:rPr>
        <w:t>" means four leading dealers in the relevant commodity swap or option market, consisting of two dealers selected by each party in good faith from among dealers of the highest credit standing which satisfy all the criteria that such party applies generally at the time in deciding whether to offer or to make an extension of credit or to enter into transactions similar in nature to the Transactions.</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Replacement Transaction</w:t>
      </w:r>
      <w:r>
        <w:rPr>
          <w:rFonts w:cs="Arial Narrow" w:ascii="Arial Narrow" w:hAnsi="Arial Narrow"/>
          <w:iCs/>
          <w:sz w:val="18"/>
        </w:rPr>
        <w:t>" means such other Transaction, commencing on the Accelerated Termination Date, which if entered into by ECC or Counterparty, would have the effect of preserving the economic equivalent of the payment obligations and rights of the parties under a terminated Transaction.</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Swap</w:t>
      </w:r>
      <w:r>
        <w:rPr>
          <w:rFonts w:cs="Arial Narrow" w:ascii="Arial Narrow" w:hAnsi="Arial Narrow"/>
          <w:iCs/>
          <w:sz w:val="18"/>
        </w:rPr>
        <w:t>" means a Transaction in which Floating Price Payor makes a cash payment to Fixed Price Payor for a Calculation Period in which the Floating Amount exceeds the Fixed Amount, or a Transaction in which Fixed Price Payor makes a cash payment to Floating Price Payor for a Calculation Period in which the Fixed Amount exceeds the Floating Amount.</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Swaption</w:t>
      </w:r>
      <w:r>
        <w:rPr>
          <w:rFonts w:cs="Arial Narrow" w:ascii="Arial Narrow" w:hAnsi="Arial Narrow"/>
          <w:iCs/>
          <w:sz w:val="18"/>
        </w:rPr>
        <w:t>" means an Option to cause an Underlying Transaction to become effective.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Trading Day</w:t>
      </w:r>
      <w:r>
        <w:rPr>
          <w:rFonts w:cs="Arial Narrow" w:ascii="Arial Narrow" w:hAnsi="Arial Narrow"/>
          <w:iCs/>
          <w:sz w:val="18"/>
        </w:rPr>
        <w:t>" means (a) in respect of a Transaction for which a Floating Price is a price announced or published by an Exchange, a day that is a trading day on that exchange, or (b) in respect of a Transaction for which a Floating Price is not a price announced or published by an Exchange, a day on which the Floating Price Source published the relevant price.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Underlying Transaction</w:t>
      </w:r>
      <w:r>
        <w:rPr>
          <w:rFonts w:cs="Arial Narrow" w:ascii="Arial Narrow" w:hAnsi="Arial Narrow"/>
          <w:iCs/>
          <w:sz w:val="18"/>
        </w:rPr>
        <w:t>" means a Transaction, the terms of which are identified in the Confirmation, that will not become effective unless the right to cause that Transaction to become effective has been timely exercised or deemed exercised.</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Unpaid Amounts</w:t>
      </w:r>
      <w:r>
        <w:rPr>
          <w:rFonts w:cs="Arial Narrow" w:ascii="Arial Narrow" w:hAnsi="Arial Narrow"/>
          <w:iCs/>
          <w:sz w:val="18"/>
        </w:rPr>
        <w:t>" means any unpaid amounts that became due and payable with respect to any Calculation Period that ended on or before any Accelerated Termination Date or Early Termination Date, as the case may be.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Written Exercise Notice</w:t>
      </w:r>
      <w:r>
        <w:rPr>
          <w:rFonts w:cs="Arial Narrow" w:ascii="Arial Narrow" w:hAnsi="Arial Narrow"/>
          <w:iCs/>
          <w:sz w:val="18"/>
        </w:rPr>
        <w:t>" means, if requested by Seller either orally or in writing, a written confirmation delivered promptly by Buyer confirming the substance of a Notice of Exercise.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rFonts w:ascii="Arial Narrow" w:hAnsi="Arial Narrow" w:cs="Arial Narrow"/>
          <w:sz w:val="18"/>
        </w:rPr>
      </w:pPr>
      <w:r>
        <w:rPr>
          <w:rFonts w:cs="Arial Narrow" w:ascii="Arial Narrow" w:hAnsi="Arial Narrow"/>
          <w:sz w:val="18"/>
        </w:rPr>
        <w:t>IN WITNESS WHEREOF, the parties have executed and delivered this Master Agreement effective as of the date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bCs/>
          <w:sz w:val="18"/>
        </w:rPr>
      </w:pPr>
      <w:r>
        <w:rPr>
          <w:rFonts w:cs="Arial Narrow" w:ascii="Arial Narrow" w:hAnsi="Arial Narrow"/>
          <w:b/>
          <w:bCs/>
          <w:sz w:val="18"/>
        </w:rPr>
        <w:t>ENRON CANADA CORP.</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rFonts w:ascii="Arial Narrow" w:hAnsi="Arial Narrow" w:cs="Arial Narrow"/>
          <w:sz w:val="18"/>
        </w:rPr>
      </w:pPr>
      <w:r>
        <w:rPr>
          <w:rFonts w:cs="Arial Narrow" w:ascii="Arial Narrow" w:hAnsi="Arial Narrow"/>
          <w:sz w:val="18"/>
        </w:rPr>
        <w:t>BY:  ________________________________________________</w:t>
      </w:r>
    </w:p>
    <w:p>
      <w:pPr>
        <w:pStyle w:val="Normal"/>
        <w:jc w:val="both"/>
        <w:rPr>
          <w:rFonts w:ascii="Arial Narrow" w:hAnsi="Arial Narrow" w:cs="Arial Narrow"/>
          <w:sz w:val="18"/>
        </w:rPr>
      </w:pPr>
      <w:r>
        <w:rPr>
          <w:rFonts w:cs="Arial Narrow" w:ascii="Arial Narrow" w:hAnsi="Arial Narrow"/>
          <w:sz w:val="18"/>
        </w:rPr>
        <w:t>NAME:  _____________________________________________</w:t>
      </w:r>
    </w:p>
    <w:p>
      <w:pPr>
        <w:pStyle w:val="Normal"/>
        <w:jc w:val="both"/>
        <w:rPr>
          <w:rFonts w:ascii="Arial Narrow" w:hAnsi="Arial Narrow" w:cs="Arial Narrow"/>
          <w:sz w:val="18"/>
        </w:rPr>
      </w:pPr>
      <w:r>
        <w:rPr>
          <w:rFonts w:cs="Arial Narrow" w:ascii="Arial Narrow" w:hAnsi="Arial Narrow"/>
          <w:sz w:val="18"/>
        </w:rPr>
        <w:t>TITLE:  ______________________________________________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bCs/>
          <w:sz w:val="18"/>
        </w:rPr>
      </w:pPr>
      <w:r>
        <w:rPr>
          <w:rFonts w:cs="Arial Narrow" w:ascii="Arial Narrow" w:hAnsi="Arial Narrow"/>
          <w:b/>
          <w:bCs/>
          <w:sz w:val="18"/>
        </w:rPr>
        <w:t>COUNTERPARTY</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rFonts w:ascii="Arial Narrow" w:hAnsi="Arial Narrow" w:cs="Arial Narrow"/>
          <w:sz w:val="18"/>
        </w:rPr>
      </w:pPr>
      <w:r>
        <w:rPr>
          <w:rFonts w:cs="Arial Narrow" w:ascii="Arial Narrow" w:hAnsi="Arial Narrow"/>
          <w:sz w:val="18"/>
        </w:rPr>
        <w:t>BY:  ________________________________________________</w:t>
      </w:r>
    </w:p>
    <w:p>
      <w:pPr>
        <w:pStyle w:val="Normal"/>
        <w:jc w:val="both"/>
        <w:rPr>
          <w:rFonts w:ascii="Arial Narrow" w:hAnsi="Arial Narrow" w:cs="Arial Narrow"/>
          <w:sz w:val="18"/>
        </w:rPr>
      </w:pPr>
      <w:r>
        <w:rPr>
          <w:rFonts w:cs="Arial Narrow" w:ascii="Arial Narrow" w:hAnsi="Arial Narrow"/>
          <w:sz w:val="18"/>
        </w:rPr>
        <w:t>NAME:  _____________________________________________</w:t>
      </w:r>
    </w:p>
    <w:p>
      <w:pPr>
        <w:pStyle w:val="Normal"/>
        <w:jc w:val="both"/>
        <w:rPr>
          <w:rFonts w:ascii="Arial Narrow" w:hAnsi="Arial Narrow" w:cs="Arial Narrow"/>
          <w:sz w:val="18"/>
        </w:rPr>
      </w:pPr>
      <w:r>
        <w:rPr>
          <w:rFonts w:cs="Arial Narrow" w:ascii="Arial Narrow" w:hAnsi="Arial Narrow"/>
          <w:sz w:val="18"/>
        </w:rPr>
        <w:t>TITLE:  ______________________________________________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tbl>
      <w:tblPr>
        <w:tblW w:w="4158" w:type="dxa"/>
        <w:jc w:val="start"/>
        <w:tblInd w:w="0" w:type="dxa"/>
        <w:tblLayout w:type="fixed"/>
        <w:tblCellMar>
          <w:top w:w="0" w:type="dxa"/>
          <w:start w:w="108" w:type="dxa"/>
          <w:bottom w:w="0" w:type="dxa"/>
          <w:end w:w="108" w:type="dxa"/>
        </w:tblCellMar>
      </w:tblPr>
      <w:tblGrid>
        <w:gridCol w:w="1368"/>
        <w:gridCol w:w="2790"/>
      </w:tblGrid>
      <w:tr>
        <w:trPr/>
        <w:tc>
          <w:tcPr>
            <w:tcW w:w="1368" w:type="dxa"/>
            <w:tcBorders/>
          </w:tcPr>
          <w:p>
            <w:pPr>
              <w:pStyle w:val="Normal"/>
              <w:jc w:val="both"/>
              <w:rPr>
                <w:rFonts w:ascii="Arial Narrow" w:hAnsi="Arial Narrow" w:cs="Arial Narrow"/>
                <w:sz w:val="18"/>
              </w:rPr>
            </w:pPr>
            <w:r>
              <w:rPr>
                <w:rFonts w:cs="Arial Narrow" w:ascii="Arial Narrow" w:hAnsi="Arial Narrow"/>
                <w:sz w:val="18"/>
              </w:rPr>
              <w:t>EXHIBIT A</w:t>
            </w:r>
          </w:p>
        </w:tc>
        <w:tc>
          <w:tcPr>
            <w:tcW w:w="2790" w:type="dxa"/>
            <w:tcBorders/>
          </w:tcPr>
          <w:p>
            <w:pPr>
              <w:pStyle w:val="Normal"/>
              <w:jc w:val="both"/>
              <w:rPr>
                <w:rFonts w:ascii="Arial Narrow" w:hAnsi="Arial Narrow" w:cs="Arial Narrow"/>
                <w:sz w:val="18"/>
              </w:rPr>
            </w:pPr>
            <w:r>
              <w:rPr>
                <w:rFonts w:cs="Arial Narrow" w:ascii="Arial Narrow" w:hAnsi="Arial Narrow"/>
                <w:sz w:val="18"/>
              </w:rPr>
              <w:t>NOTICE AND COMMUNICATION</w:t>
            </w:r>
          </w:p>
        </w:tc>
      </w:tr>
      <w:tr>
        <w:trPr/>
        <w:tc>
          <w:tcPr>
            <w:tcW w:w="1368" w:type="dxa"/>
            <w:tcBorders/>
          </w:tcPr>
          <w:p>
            <w:pPr>
              <w:pStyle w:val="Normal"/>
              <w:jc w:val="both"/>
              <w:rPr>
                <w:rFonts w:ascii="Arial Narrow" w:hAnsi="Arial Narrow" w:cs="Arial Narrow"/>
                <w:sz w:val="18"/>
              </w:rPr>
            </w:pPr>
            <w:r>
              <w:rPr>
                <w:rFonts w:cs="Arial Narrow" w:ascii="Arial Narrow" w:hAnsi="Arial Narrow"/>
                <w:sz w:val="18"/>
              </w:rPr>
              <w:t>EXHIBIT B-1</w:t>
            </w:r>
          </w:p>
        </w:tc>
        <w:tc>
          <w:tcPr>
            <w:tcW w:w="2790" w:type="dxa"/>
            <w:tcBorders/>
          </w:tcPr>
          <w:p>
            <w:pPr>
              <w:pStyle w:val="Normal"/>
              <w:jc w:val="both"/>
              <w:rPr>
                <w:rFonts w:ascii="Arial Narrow" w:hAnsi="Arial Narrow" w:cs="Arial Narrow"/>
                <w:sz w:val="18"/>
              </w:rPr>
            </w:pPr>
            <w:r>
              <w:rPr>
                <w:rFonts w:cs="Arial Narrow" w:ascii="Arial Narrow" w:hAnsi="Arial Narrow"/>
                <w:sz w:val="18"/>
              </w:rPr>
              <w:t>GUARANTY (ECC)</w:t>
            </w:r>
          </w:p>
        </w:tc>
      </w:tr>
      <w:tr>
        <w:trPr/>
        <w:tc>
          <w:tcPr>
            <w:tcW w:w="1368" w:type="dxa"/>
            <w:tcBorders/>
          </w:tcPr>
          <w:p>
            <w:pPr>
              <w:pStyle w:val="Normal"/>
              <w:jc w:val="both"/>
              <w:rPr>
                <w:rFonts w:ascii="Arial Narrow" w:hAnsi="Arial Narrow" w:cs="Arial Narrow"/>
                <w:sz w:val="18"/>
              </w:rPr>
            </w:pPr>
            <w:r>
              <w:rPr>
                <w:rFonts w:cs="Arial Narrow" w:ascii="Arial Narrow" w:hAnsi="Arial Narrow"/>
                <w:sz w:val="18"/>
              </w:rPr>
              <w:t>EXHIBIT B-2</w:t>
            </w:r>
          </w:p>
        </w:tc>
        <w:tc>
          <w:tcPr>
            <w:tcW w:w="2790" w:type="dxa"/>
            <w:tcBorders/>
          </w:tcPr>
          <w:p>
            <w:pPr>
              <w:pStyle w:val="Normal"/>
              <w:jc w:val="both"/>
              <w:rPr>
                <w:rFonts w:ascii="Arial Narrow" w:hAnsi="Arial Narrow" w:cs="Arial Narrow"/>
                <w:sz w:val="18"/>
              </w:rPr>
            </w:pPr>
            <w:r>
              <w:rPr>
                <w:rFonts w:cs="Arial Narrow" w:ascii="Arial Narrow" w:hAnsi="Arial Narrow"/>
                <w:sz w:val="18"/>
              </w:rPr>
              <w:t>GUARANTY (COUNTERPARTY)</w:t>
            </w:r>
          </w:p>
        </w:tc>
      </w:tr>
      <w:tr>
        <w:trPr/>
        <w:tc>
          <w:tcPr>
            <w:tcW w:w="1368" w:type="dxa"/>
            <w:tcBorders/>
          </w:tcPr>
          <w:p>
            <w:pPr>
              <w:pStyle w:val="Normal"/>
              <w:jc w:val="both"/>
              <w:rPr>
                <w:rFonts w:ascii="Arial Narrow" w:hAnsi="Arial Narrow" w:cs="Arial Narrow"/>
                <w:sz w:val="18"/>
              </w:rPr>
            </w:pPr>
            <w:r>
              <w:rPr>
                <w:rFonts w:cs="Arial Narrow" w:ascii="Arial Narrow" w:hAnsi="Arial Narrow"/>
                <w:sz w:val="18"/>
              </w:rPr>
              <w:t>ANNEX A</w:t>
            </w:r>
          </w:p>
        </w:tc>
        <w:tc>
          <w:tcPr>
            <w:tcW w:w="2790" w:type="dxa"/>
            <w:tcBorders/>
          </w:tcPr>
          <w:p>
            <w:pPr>
              <w:pStyle w:val="Normal"/>
              <w:jc w:val="both"/>
              <w:rPr>
                <w:rFonts w:ascii="Arial Narrow" w:hAnsi="Arial Narrow" w:cs="Arial Narrow"/>
                <w:sz w:val="18"/>
              </w:rPr>
            </w:pPr>
            <w:r>
              <w:rPr>
                <w:rFonts w:cs="Arial Narrow" w:ascii="Arial Narrow" w:hAnsi="Arial Narrow"/>
                <w:sz w:val="18"/>
              </w:rPr>
              <w:t>CREDIT SUPPORT ANNEX</w:t>
            </w:r>
          </w:p>
        </w:tc>
      </w:tr>
      <w:tr>
        <w:trPr/>
        <w:tc>
          <w:tcPr>
            <w:tcW w:w="1368" w:type="dxa"/>
            <w:tcBorders/>
          </w:tcPr>
          <w:p>
            <w:pPr>
              <w:pStyle w:val="Normal"/>
              <w:jc w:val="both"/>
              <w:rPr>
                <w:rFonts w:ascii="Arial Narrow" w:hAnsi="Arial Narrow" w:cs="Arial Narrow"/>
                <w:sz w:val="18"/>
              </w:rPr>
            </w:pPr>
            <w:r>
              <w:rPr>
                <w:rFonts w:cs="Arial Narrow" w:ascii="Arial Narrow" w:hAnsi="Arial Narrow"/>
                <w:sz w:val="18"/>
              </w:rPr>
              <w:t>SCHEDULE 1 TO ANNEX A</w:t>
            </w:r>
          </w:p>
        </w:tc>
        <w:tc>
          <w:tcPr>
            <w:tcW w:w="2790" w:type="dxa"/>
            <w:tcBorders/>
          </w:tcPr>
          <w:p>
            <w:pPr>
              <w:pStyle w:val="Normal"/>
              <w:jc w:val="both"/>
              <w:rPr>
                <w:rFonts w:ascii="Arial Narrow" w:hAnsi="Arial Narrow" w:cs="Arial Narrow"/>
                <w:sz w:val="18"/>
              </w:rPr>
            </w:pPr>
            <w:r>
              <w:rPr>
                <w:rFonts w:cs="Arial Narrow" w:ascii="Arial Narrow" w:hAnsi="Arial Narrow"/>
                <w:sz w:val="18"/>
              </w:rPr>
              <w:t>FORM OF LETTER OF CREDIT</w:t>
            </w:r>
          </w:p>
        </w:tc>
      </w:tr>
    </w:tbl>
    <w:p>
      <w:pPr>
        <w:sectPr>
          <w:headerReference w:type="default" r:id="rId2"/>
          <w:headerReference w:type="first" r:id="rId3"/>
          <w:footerReference w:type="default" r:id="rId4"/>
          <w:footerReference w:type="first" r:id="rId5"/>
          <w:type w:val="nextPage"/>
          <w:pgSz w:w="12240" w:h="15840"/>
          <w:pgMar w:left="1008" w:right="1008" w:gutter="0" w:header="720" w:top="1008" w:footer="720" w:bottom="1152"/>
          <w:pgNumType w:start="1" w:fmt="decimal"/>
          <w:cols w:num="2" w:space="708" w:equalWidth="true" w:sep="false"/>
          <w:formProt w:val="false"/>
          <w:titlePg/>
          <w:textDirection w:val="lrTb"/>
          <w:docGrid w:type="default" w:linePitch="360" w:charSpace="0"/>
        </w:sectPr>
      </w:pPr>
    </w:p>
    <w:p>
      <w:pPr>
        <w:pStyle w:val="Normal"/>
        <w:jc w:val="center"/>
        <w:rPr>
          <w:rFonts w:ascii="Arial Narrow" w:hAnsi="Arial Narrow" w:cs="Arial Narrow"/>
          <w:b/>
          <w:bCs/>
          <w:sz w:val="18"/>
        </w:rPr>
      </w:pPr>
      <w:r>
        <w:rPr>
          <w:rFonts w:cs="Arial Narrow" w:ascii="Arial Narrow" w:hAnsi="Arial Narrow"/>
          <w:b/>
          <w:bCs/>
          <w:sz w:val="18"/>
        </w:rPr>
        <w:t xml:space="preserve">EXHIBIT A </w:t>
      </w:r>
    </w:p>
    <w:p>
      <w:pPr>
        <w:pStyle w:val="Normal"/>
        <w:jc w:val="center"/>
        <w:rPr>
          <w:rFonts w:ascii="Arial Narrow" w:hAnsi="Arial Narrow" w:cs="Arial Narrow"/>
          <w:b/>
          <w:bCs/>
          <w:sz w:val="18"/>
        </w:rPr>
      </w:pPr>
      <w:r>
        <w:rPr>
          <w:rFonts w:cs="Arial Narrow" w:ascii="Arial Narrow" w:hAnsi="Arial Narrow"/>
          <w:b/>
          <w:bCs/>
          <w:sz w:val="18"/>
        </w:rPr>
        <w:t xml:space="preserve">NOTICE </w:t>
      </w:r>
    </w:p>
    <w:p>
      <w:pPr>
        <w:pStyle w:val="Normal"/>
        <w:jc w:val="both"/>
        <w:rPr>
          <w:rFonts w:ascii="Arial Narrow" w:hAnsi="Arial Narrow" w:cs="Arial Narrow"/>
          <w:b/>
          <w:bCs/>
          <w:sz w:val="18"/>
        </w:rPr>
      </w:pPr>
      <w:r>
        <w:rPr>
          <w:rFonts w:cs="Arial Narrow" w:ascii="Arial Narrow" w:hAnsi="Arial Narrow"/>
          <w:b/>
          <w:bCs/>
          <w:sz w:val="18"/>
        </w:rPr>
      </w:r>
    </w:p>
    <w:tbl>
      <w:tblPr>
        <w:tblW w:w="9974" w:type="dxa"/>
        <w:jc w:val="start"/>
        <w:tblInd w:w="0" w:type="dxa"/>
        <w:tblLayout w:type="fixed"/>
        <w:tblCellMar>
          <w:top w:w="0" w:type="dxa"/>
          <w:start w:w="0" w:type="dxa"/>
          <w:bottom w:w="0" w:type="dxa"/>
          <w:end w:w="0" w:type="dxa"/>
        </w:tblCellMar>
      </w:tblPr>
      <w:tblGrid>
        <w:gridCol w:w="5331"/>
        <w:gridCol w:w="4576"/>
        <w:gridCol w:w="67"/>
      </w:tblGrid>
      <w:tr>
        <w:trPr/>
        <w:tc>
          <w:tcPr>
            <w:tcW w:w="5331" w:type="dxa"/>
            <w:tcBorders/>
          </w:tcPr>
          <w:p>
            <w:pPr>
              <w:pStyle w:val="Normal"/>
              <w:jc w:val="both"/>
              <w:rPr>
                <w:rFonts w:ascii="Arial Narrow" w:hAnsi="Arial Narrow" w:cs="Arial Narrow"/>
                <w:sz w:val="18"/>
                <w:u w:val="single"/>
              </w:rPr>
            </w:pPr>
            <w:r>
              <w:rPr>
                <w:rFonts w:cs="Arial Narrow" w:ascii="Arial Narrow" w:hAnsi="Arial Narrow"/>
                <w:sz w:val="18"/>
                <w:u w:val="single"/>
              </w:rPr>
              <w:t>Notice to ECC</w:t>
            </w:r>
            <w:r>
              <w:rPr>
                <w:rFonts w:cs="Arial Narrow" w:ascii="Arial Narrow" w:hAnsi="Arial Narrow"/>
                <w:sz w:val="18"/>
              </w:rPr>
              <w:t>:</w:t>
            </w:r>
          </w:p>
        </w:tc>
        <w:tc>
          <w:tcPr>
            <w:tcW w:w="4643" w:type="dxa"/>
            <w:gridSpan w:val="2"/>
            <w:tcBorders/>
          </w:tcPr>
          <w:p>
            <w:pPr>
              <w:pStyle w:val="Normal"/>
              <w:jc w:val="both"/>
              <w:rPr>
                <w:rFonts w:ascii="Arial Narrow" w:hAnsi="Arial Narrow" w:cs="Arial Narrow"/>
                <w:sz w:val="18"/>
                <w:u w:val="single"/>
              </w:rPr>
            </w:pPr>
            <w:r>
              <w:rPr>
                <w:rFonts w:cs="Arial Narrow" w:ascii="Arial Narrow" w:hAnsi="Arial Narrow"/>
                <w:sz w:val="18"/>
                <w:u w:val="single"/>
              </w:rPr>
              <w:t>Notice to Counterparty</w:t>
            </w:r>
            <w:r>
              <w:rPr>
                <w:rFonts w:cs="Arial Narrow" w:ascii="Arial Narrow" w:hAnsi="Arial Narrow"/>
                <w:sz w:val="18"/>
              </w:rPr>
              <w:t>:</w:t>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Enron Canada Corp.</w:t>
            </w:r>
          </w:p>
        </w:tc>
        <w:tc>
          <w:tcPr>
            <w:tcW w:w="4643" w:type="dxa"/>
            <w:gridSpan w:val="2"/>
            <w:tcBorders/>
          </w:tcPr>
          <w:p>
            <w:pPr>
              <w:pStyle w:val="Normal"/>
              <w:jc w:val="both"/>
              <w:rPr>
                <w:rFonts w:ascii="Arial Narrow" w:hAnsi="Arial Narrow" w:cs="Arial Narrow"/>
                <w:sz w:val="18"/>
                <w:u w:val="single"/>
              </w:rPr>
            </w:pPr>
            <w:r>
              <w:rPr>
                <w:rFonts w:cs="Arial Narrow" w:ascii="Arial Narrow" w:hAnsi="Arial Narrow"/>
                <w:sz w:val="18"/>
                <w:u w:val="single"/>
              </w:rPr>
              <w:tab/>
              <w:tab/>
              <w:tab/>
              <w:tab/>
              <w:tab/>
            </w:r>
          </w:p>
        </w:tc>
      </w:tr>
      <w:tr>
        <w:trPr/>
        <w:tc>
          <w:tcPr>
            <w:tcW w:w="5331" w:type="dxa"/>
            <w:tcBorders/>
          </w:tcPr>
          <w:p>
            <w:pPr>
              <w:pStyle w:val="Normal"/>
              <w:jc w:val="both"/>
              <w:rPr/>
            </w:pPr>
            <w:r>
              <w:rPr>
                <w:rFonts w:cs="Arial Narrow" w:ascii="Arial Narrow" w:hAnsi="Arial Narrow"/>
                <w:sz w:val="18"/>
              </w:rPr>
              <w:t>400 – 3</w:t>
            </w:r>
            <w:r>
              <w:rPr>
                <w:rFonts w:cs="Arial Narrow" w:ascii="Arial Narrow" w:hAnsi="Arial Narrow"/>
                <w:sz w:val="18"/>
                <w:vertAlign w:val="superscript"/>
              </w:rPr>
              <w:t>rd</w:t>
            </w:r>
            <w:r>
              <w:rPr>
                <w:rFonts w:cs="Arial Narrow" w:ascii="Arial Narrow" w:hAnsi="Arial Narrow"/>
                <w:sz w:val="18"/>
              </w:rPr>
              <w:t xml:space="preserve"> Avenue, Suite 3500</w:t>
            </w:r>
          </w:p>
        </w:tc>
        <w:tc>
          <w:tcPr>
            <w:tcW w:w="4643" w:type="dxa"/>
            <w:gridSpan w:val="2"/>
            <w:tcBorders/>
          </w:tcPr>
          <w:p>
            <w:pPr>
              <w:pStyle w:val="Normal"/>
              <w:jc w:val="both"/>
              <w:rPr>
                <w:rFonts w:ascii="Arial Narrow" w:hAnsi="Arial Narrow" w:cs="Arial Narrow"/>
                <w:sz w:val="18"/>
                <w:u w:val="single"/>
              </w:rPr>
            </w:pPr>
            <w:r>
              <w:rPr>
                <w:rFonts w:cs="Arial Narrow" w:ascii="Arial Narrow" w:hAnsi="Arial Narrow"/>
                <w:sz w:val="18"/>
                <w:u w:val="single"/>
              </w:rPr>
              <w:tab/>
              <w:tab/>
              <w:tab/>
              <w:tab/>
              <w:tab/>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Calgary, Alberta  T2P 4H2</w:t>
            </w:r>
          </w:p>
        </w:tc>
        <w:tc>
          <w:tcPr>
            <w:tcW w:w="4643" w:type="dxa"/>
            <w:gridSpan w:val="2"/>
            <w:tcBorders/>
          </w:tcPr>
          <w:p>
            <w:pPr>
              <w:pStyle w:val="Normal"/>
              <w:jc w:val="both"/>
              <w:rPr>
                <w:rFonts w:ascii="Arial Narrow" w:hAnsi="Arial Narrow" w:cs="Arial Narrow"/>
                <w:sz w:val="18"/>
                <w:u w:val="single"/>
              </w:rPr>
            </w:pPr>
            <w:r>
              <w:rPr>
                <w:rFonts w:cs="Arial Narrow" w:ascii="Arial Narrow" w:hAnsi="Arial Narrow"/>
                <w:sz w:val="18"/>
                <w:u w:val="single"/>
              </w:rPr>
              <w:tab/>
              <w:tab/>
              <w:tab/>
              <w:tab/>
              <w:tab/>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Attn.:  Director, Documentation Department</w:t>
            </w:r>
          </w:p>
        </w:tc>
        <w:tc>
          <w:tcPr>
            <w:tcW w:w="4643" w:type="dxa"/>
            <w:gridSpan w:val="2"/>
            <w:tcBorders/>
          </w:tcPr>
          <w:p>
            <w:pPr>
              <w:pStyle w:val="Normal"/>
              <w:jc w:val="both"/>
              <w:rPr/>
            </w:pPr>
            <w:r>
              <w:rPr>
                <w:rFonts w:cs="Arial Narrow" w:ascii="Arial Narrow" w:hAnsi="Arial Narrow"/>
                <w:sz w:val="18"/>
              </w:rPr>
              <w:t>Attn.:</w:t>
            </w:r>
            <w:r>
              <w:rPr>
                <w:rFonts w:cs="Arial Narrow" w:ascii="Arial Narrow" w:hAnsi="Arial Narrow"/>
                <w:sz w:val="18"/>
                <w:u w:val="single"/>
              </w:rPr>
              <w:tab/>
              <w:tab/>
              <w:tab/>
              <w:tab/>
              <w:tab/>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 xml:space="preserve">Facsimile No. (403) 974-6706 </w:t>
            </w:r>
          </w:p>
        </w:tc>
        <w:tc>
          <w:tcPr>
            <w:tcW w:w="4643" w:type="dxa"/>
            <w:gridSpan w:val="2"/>
            <w:tcBorders/>
          </w:tcPr>
          <w:p>
            <w:pPr>
              <w:pStyle w:val="Normal"/>
              <w:jc w:val="both"/>
              <w:rPr/>
            </w:pPr>
            <w:r>
              <w:rPr>
                <w:rFonts w:cs="Arial Narrow" w:ascii="Arial Narrow" w:hAnsi="Arial Narrow"/>
                <w:sz w:val="18"/>
              </w:rPr>
              <w:t>Facsimile No.</w:t>
            </w:r>
            <w:r>
              <w:rPr>
                <w:rFonts w:cs="Arial Narrow" w:ascii="Arial Narrow" w:hAnsi="Arial Narrow"/>
                <w:sz w:val="18"/>
                <w:u w:val="single"/>
              </w:rPr>
              <w:tab/>
              <w:tab/>
              <w:tab/>
              <w:tab/>
            </w:r>
          </w:p>
        </w:tc>
      </w:tr>
      <w:tr>
        <w:trPr/>
        <w:tc>
          <w:tcPr>
            <w:tcW w:w="5331"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4643" w:type="dxa"/>
            <w:gridSpan w:val="2"/>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u w:val="single"/>
              </w:rPr>
              <w:t>With a copy of any notice given pursuant to Sections 5 or 7</w:t>
            </w:r>
          </w:p>
        </w:tc>
        <w:tc>
          <w:tcPr>
            <w:tcW w:w="4576" w:type="dxa"/>
            <w:tcBorders/>
          </w:tcPr>
          <w:p>
            <w:pPr>
              <w:pStyle w:val="Normal"/>
              <w:snapToGrid w:val="false"/>
              <w:jc w:val="both"/>
              <w:rPr>
                <w:rFonts w:ascii="Arial Narrow" w:hAnsi="Arial Narrow" w:cs="Arial Narrow"/>
                <w:sz w:val="18"/>
              </w:rPr>
            </w:pPr>
            <w:r>
              <w:rPr>
                <w:rFonts w:cs="Arial Narrow" w:ascii="Arial Narrow" w:hAnsi="Arial Narrow"/>
                <w:sz w:val="18"/>
              </w:rPr>
            </w:r>
          </w:p>
        </w:tc>
        <w:tc>
          <w:tcPr>
            <w:tcW w:w="67" w:type="dxa"/>
            <w:tcBorders/>
          </w:tcPr>
          <w:p>
            <w:pPr>
              <w:pStyle w:val="Normal"/>
              <w:snapToGrid w:val="false"/>
              <w:rPr>
                <w:rFonts w:ascii="Arial Narrow" w:hAnsi="Arial Narrow" w:cs="Arial Narrow"/>
                <w:sz w:val="18"/>
              </w:rPr>
            </w:pPr>
            <w:r>
              <w:rPr>
                <w:rFonts w:cs="Arial Narrow" w:ascii="Arial Narrow" w:hAnsi="Arial Narrow"/>
                <w:sz w:val="18"/>
              </w:rPr>
            </w:r>
          </w:p>
        </w:tc>
      </w:tr>
      <w:tr>
        <w:trPr/>
        <w:tc>
          <w:tcPr>
            <w:tcW w:w="5331" w:type="dxa"/>
            <w:tcBorders/>
          </w:tcPr>
          <w:p>
            <w:pPr>
              <w:pStyle w:val="Normal"/>
              <w:jc w:val="both"/>
              <w:rPr>
                <w:rFonts w:ascii="Arial Narrow" w:hAnsi="Arial Narrow" w:cs="Arial Narrow"/>
                <w:sz w:val="18"/>
                <w:u w:val="single"/>
              </w:rPr>
            </w:pPr>
            <w:r>
              <w:rPr>
                <w:rFonts w:cs="Arial Narrow" w:ascii="Arial Narrow" w:hAnsi="Arial Narrow"/>
                <w:sz w:val="18"/>
                <w:u w:val="single"/>
              </w:rPr>
              <w:t>or Annex A to</w:t>
            </w:r>
            <w:r>
              <w:rPr>
                <w:rFonts w:cs="Arial Narrow" w:ascii="Arial Narrow" w:hAnsi="Arial Narrow"/>
                <w:sz w:val="18"/>
              </w:rPr>
              <w:t>:</w:t>
            </w:r>
          </w:p>
        </w:tc>
        <w:tc>
          <w:tcPr>
            <w:tcW w:w="4576"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Enron Corp.</w:t>
            </w:r>
          </w:p>
        </w:tc>
        <w:tc>
          <w:tcPr>
            <w:tcW w:w="4576" w:type="dxa"/>
            <w:tcBorders/>
          </w:tcPr>
          <w:p>
            <w:pPr>
              <w:pStyle w:val="Normal"/>
              <w:snapToGrid w:val="false"/>
              <w:jc w:val="both"/>
              <w:rPr>
                <w:rFonts w:ascii="Arial Narrow" w:hAnsi="Arial Narrow" w:cs="Arial Narrow"/>
                <w:sz w:val="18"/>
              </w:rPr>
            </w:pPr>
            <w:r>
              <w:rPr>
                <w:rFonts w:cs="Arial Narrow" w:ascii="Arial Narrow" w:hAnsi="Arial Narrow"/>
                <w:sz w:val="18"/>
              </w:rPr>
            </w:r>
          </w:p>
        </w:tc>
        <w:tc>
          <w:tcPr>
            <w:tcW w:w="67" w:type="dxa"/>
            <w:tcBorders/>
          </w:tcPr>
          <w:p>
            <w:pPr>
              <w:pStyle w:val="Normal"/>
              <w:snapToGrid w:val="false"/>
              <w:rPr>
                <w:rFonts w:ascii="Arial Narrow" w:hAnsi="Arial Narrow" w:cs="Arial Narrow"/>
                <w:sz w:val="18"/>
              </w:rPr>
            </w:pPr>
            <w:r>
              <w:rPr>
                <w:rFonts w:cs="Arial Narrow" w:ascii="Arial Narrow" w:hAnsi="Arial Narrow"/>
                <w:sz w:val="18"/>
              </w:rPr>
            </w:r>
          </w:p>
        </w:tc>
      </w:tr>
      <w:tr>
        <w:trPr/>
        <w:tc>
          <w:tcPr>
            <w:tcW w:w="5331" w:type="dxa"/>
            <w:tcBorders/>
          </w:tcPr>
          <w:p>
            <w:pPr>
              <w:pStyle w:val="Normal"/>
              <w:jc w:val="both"/>
              <w:rPr>
                <w:rFonts w:ascii="Arial Narrow" w:hAnsi="Arial Narrow" w:cs="Arial Narrow"/>
                <w:sz w:val="18"/>
                <w:u w:val="single"/>
              </w:rPr>
            </w:pPr>
            <w:r>
              <w:rPr>
                <w:rFonts w:cs="Arial Narrow" w:ascii="Arial Narrow" w:hAnsi="Arial Narrow"/>
                <w:sz w:val="18"/>
              </w:rPr>
              <w:t>1400 Smith Street</w:t>
            </w:r>
          </w:p>
        </w:tc>
        <w:tc>
          <w:tcPr>
            <w:tcW w:w="4576"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Houston, Texas 77002</w:t>
            </w:r>
          </w:p>
        </w:tc>
        <w:tc>
          <w:tcPr>
            <w:tcW w:w="4576"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Attn.:  Corporate Secretary</w:t>
            </w:r>
          </w:p>
        </w:tc>
        <w:tc>
          <w:tcPr>
            <w:tcW w:w="4576"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Facsimile No. (713) 853-2534</w:t>
            </w:r>
          </w:p>
        </w:tc>
        <w:tc>
          <w:tcPr>
            <w:tcW w:w="4576"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jc w:val="both"/>
              <w:rPr/>
            </w:pPr>
            <w:r>
              <w:rPr>
                <w:rFonts w:cs="Arial Narrow" w:ascii="Arial Narrow" w:hAnsi="Arial Narrow"/>
                <w:sz w:val="18"/>
                <w:u w:val="single"/>
              </w:rPr>
              <w:t>and to</w:t>
            </w:r>
            <w:r>
              <w:rPr>
                <w:rFonts w:cs="Arial Narrow" w:ascii="Arial Narrow" w:hAnsi="Arial Narrow"/>
                <w:sz w:val="18"/>
              </w:rPr>
              <w:t>:</w:t>
            </w:r>
          </w:p>
        </w:tc>
        <w:tc>
          <w:tcPr>
            <w:tcW w:w="4576"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Enron North America Corp.</w:t>
            </w:r>
          </w:p>
        </w:tc>
        <w:tc>
          <w:tcPr>
            <w:tcW w:w="4576"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1400 Smith Street</w:t>
            </w:r>
          </w:p>
        </w:tc>
        <w:tc>
          <w:tcPr>
            <w:tcW w:w="4576"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Houston, Texas 77002</w:t>
            </w:r>
          </w:p>
        </w:tc>
        <w:tc>
          <w:tcPr>
            <w:tcW w:w="4576"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Attn.:  Assistant General Counsel, Trading Group</w:t>
            </w:r>
          </w:p>
        </w:tc>
        <w:tc>
          <w:tcPr>
            <w:tcW w:w="4576"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Facsimile No.: (713) 646-4818</w:t>
            </w:r>
          </w:p>
        </w:tc>
        <w:tc>
          <w:tcPr>
            <w:tcW w:w="4576"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4576"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bl>
    <w:p>
      <w:pPr>
        <w:sectPr>
          <w:headerReference w:type="default" r:id="rId6"/>
          <w:headerReference w:type="first" r:id="rId7"/>
          <w:footerReference w:type="default" r:id="rId8"/>
          <w:footerReference w:type="first" r:id="rId9"/>
          <w:type w:val="nextPage"/>
          <w:pgSz w:w="12240" w:h="15840"/>
          <w:pgMar w:left="1008" w:right="1008" w:gutter="0" w:header="0" w:top="1008" w:footer="720" w:bottom="1008"/>
          <w:pgNumType w:start="1" w:fmt="decimal"/>
          <w:formProt w:val="false"/>
          <w:textDirection w:val="lrTb"/>
          <w:docGrid w:type="default" w:linePitch="360" w:charSpace="0"/>
        </w:sectPr>
      </w:pPr>
    </w:p>
    <w:p>
      <w:pPr>
        <w:pStyle w:val="Normal"/>
        <w:jc w:val="both"/>
        <w:rPr>
          <w:rFonts w:ascii="Arial Narrow" w:hAnsi="Arial Narrow" w:cs="Arial Narrow"/>
          <w:color w:val="FF0000"/>
          <w:sz w:val="18"/>
        </w:rPr>
      </w:pPr>
      <w:r>
        <w:rPr>
          <w:rFonts w:cs="Arial Narrow" w:ascii="Arial Narrow" w:hAnsi="Arial Narrow"/>
          <w:color w:val="FF0000"/>
          <w:sz w:val="18"/>
        </w:rPr>
        <w:t>[Two Way, Letters of Credit Form]</w:t>
      </w:r>
    </w:p>
    <w:p>
      <w:pPr>
        <w:pStyle w:val="Normal"/>
        <w:jc w:val="center"/>
        <w:rPr>
          <w:rFonts w:ascii="Arial Narrow" w:hAnsi="Arial Narrow" w:cs="Arial Narrow"/>
          <w:b/>
          <w:bCs/>
          <w:sz w:val="18"/>
        </w:rPr>
      </w:pPr>
      <w:r>
        <w:rPr>
          <w:rFonts w:cs="Arial Narrow" w:ascii="Arial Narrow" w:hAnsi="Arial Narrow"/>
          <w:b/>
          <w:bCs/>
          <w:sz w:val="18"/>
        </w:rPr>
        <w:t>ANNEX A</w:t>
        <w:br/>
      </w:r>
      <w:r>
        <w:rPr>
          <w:rFonts w:cs="Arial Narrow" w:ascii="Arial Narrow" w:hAnsi="Arial Narrow"/>
          <w:b/>
          <w:bCs/>
          <w:sz w:val="18"/>
          <w:u w:val="single"/>
        </w:rPr>
        <w:t>CREDIT SUPPORT ANNEX</w:t>
      </w:r>
    </w:p>
    <w:p>
      <w:pPr>
        <w:pStyle w:val="Normal"/>
        <w:jc w:val="both"/>
        <w:rPr/>
      </w:pPr>
      <w:r>
        <w:rPr>
          <w:rFonts w:cs="Arial Narrow" w:ascii="Arial Narrow" w:hAnsi="Arial Narrow"/>
          <w:sz w:val="18"/>
        </w:rPr>
        <w:t xml:space="preserve">This Credit Support Annex supplements, forms part of, and is incorporated into the Agreement.  Capitalized terms used, but not defined, in this </w:t>
      </w:r>
      <w:r>
        <w:rPr>
          <w:rFonts w:cs="Arial Narrow" w:ascii="Arial Narrow" w:hAnsi="Arial Narrow"/>
          <w:sz w:val="18"/>
          <w:u w:val="single"/>
        </w:rPr>
        <w:t>Annex A</w:t>
      </w:r>
      <w:r>
        <w:rPr>
          <w:rFonts w:cs="Arial Narrow" w:ascii="Arial Narrow" w:hAnsi="Arial Narrow"/>
          <w:sz w:val="18"/>
        </w:rPr>
        <w:t xml:space="preserve"> have the meanings given such terms in the Master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1. </w:t>
      </w:r>
      <w:r>
        <w:rPr>
          <w:rFonts w:cs="Arial Narrow" w:ascii="Arial Narrow" w:hAnsi="Arial Narrow"/>
          <w:b/>
          <w:bCs/>
          <w:sz w:val="18"/>
          <w:u w:val="single"/>
        </w:rPr>
        <w:t>Definitions</w:t>
      </w:r>
      <w:r>
        <w:rPr>
          <w:rFonts w:cs="Arial Narrow" w:ascii="Arial Narrow" w:hAnsi="Arial Narrow"/>
          <w:sz w:val="18"/>
        </w:rPr>
        <w:t xml:space="preserve">. As used in this </w:t>
      </w:r>
      <w:r>
        <w:rPr>
          <w:rFonts w:cs="Arial Narrow" w:ascii="Arial Narrow" w:hAnsi="Arial Narrow"/>
          <w:sz w:val="18"/>
          <w:u w:val="single"/>
        </w:rPr>
        <w:t>Annex A</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Collateral Requirement</w:t>
      </w:r>
      <w:r>
        <w:rPr>
          <w:rFonts w:cs="Arial Narrow" w:ascii="Arial Narrow" w:hAnsi="Arial Narrow"/>
          <w:sz w:val="18"/>
        </w:rPr>
        <w:t>" has the meaning attributed to it in Section 2.</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Credit Rating</w:t>
      </w:r>
      <w:r>
        <w:rPr>
          <w:rFonts w:cs="Arial Narrow" w:ascii="Arial Narrow" w:hAnsi="Arial Narrow"/>
          <w:sz w:val="18"/>
        </w:rPr>
        <w:t xml:space="preserve">" means, with respect to a party or entity on any date of determination, the respective rating then assigned to its unsecured and senior long-term debt or deposit obligations (not supported by third party credit enhancement) by S&amp;P, Moody's, or the specified rating agency or agencies.  </w:t>
      </w:r>
      <w:r>
        <w:rPr>
          <w:rFonts w:cs="Arial Narrow" w:ascii="Arial Narrow" w:hAnsi="Arial Narrow"/>
          <w:color w:val="FF0000"/>
          <w:sz w:val="18"/>
        </w:rPr>
        <w:t>[</w:t>
      </w:r>
      <w:r>
        <w:rPr>
          <w:rFonts w:cs="Arial Narrow" w:ascii="Arial Narrow" w:hAnsi="Arial Narrow"/>
          <w:sz w:val="18"/>
        </w:rPr>
        <w:t>If such ratings are not available, then "Credit Rating" shall mean the S&amp;P corporate bond rating.</w:t>
      </w:r>
      <w:r>
        <w:rPr>
          <w:rFonts w:cs="Arial Narrow" w:ascii="Arial Narrow" w:hAnsi="Arial Narrow"/>
          <w:color w:val="FF0000"/>
          <w:sz w:val="18"/>
        </w:rPr>
        <w:t>]</w:t>
      </w:r>
    </w:p>
    <w:p>
      <w:pPr>
        <w:pStyle w:val="Normal"/>
        <w:jc w:val="both"/>
        <w:rPr>
          <w:rFonts w:ascii="Arial Narrow" w:hAnsi="Arial Narrow" w:cs="Arial Narrow"/>
          <w:color w:val="FF0000"/>
          <w:sz w:val="18"/>
        </w:rPr>
      </w:pPr>
      <w:r>
        <w:rPr>
          <w:rFonts w:cs="Arial Narrow" w:ascii="Arial Narrow" w:hAnsi="Arial Narrow"/>
          <w:color w:val="FF0000"/>
          <w:sz w:val="18"/>
        </w:rPr>
      </w:r>
    </w:p>
    <w:p>
      <w:pPr>
        <w:pStyle w:val="Normal"/>
        <w:jc w:val="both"/>
        <w:rPr/>
      </w:pPr>
      <w:r>
        <w:rPr>
          <w:rFonts w:cs="Arial Narrow" w:ascii="Arial Narrow" w:hAnsi="Arial Narrow"/>
          <w:sz w:val="18"/>
        </w:rPr>
        <w:t>"</w:t>
      </w:r>
      <w:r>
        <w:rPr>
          <w:rFonts w:cs="Arial Narrow" w:ascii="Arial Narrow" w:hAnsi="Arial Narrow"/>
          <w:sz w:val="18"/>
          <w:u w:val="single"/>
        </w:rPr>
        <w:t>Current Value</w:t>
      </w:r>
      <w:r>
        <w:rPr>
          <w:rFonts w:cs="Arial Narrow" w:ascii="Arial Narrow" w:hAnsi="Arial Narrow"/>
          <w:sz w:val="18"/>
        </w:rPr>
        <w:t>" of an outstanding Transaction, on any date, means the amount, as calculated by the Exposed Party in good faith and in a commercially reasonable manner, which a party would pay to or receive from a third party in an arm's-length transaction as consideration for the third party's entering into a new transaction with such party at that time and in which such party holds the same position as in the outstanding Transaction, assuming that the term of the new transaction encompasses only uncompleted Calculation Periods and that the new transaction is in all other respects identical to the outstanding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Eligible Collateral</w:t>
      </w:r>
      <w:r>
        <w:rPr>
          <w:rFonts w:cs="Arial Narrow" w:ascii="Arial Narrow" w:hAnsi="Arial Narrow"/>
          <w:sz w:val="18"/>
        </w:rPr>
        <w:t>" means a Letter of Credit with a "</w:t>
      </w:r>
      <w:r>
        <w:rPr>
          <w:rFonts w:cs="Arial Narrow" w:ascii="Arial Narrow" w:hAnsi="Arial Narrow"/>
          <w:sz w:val="18"/>
          <w:u w:val="single"/>
        </w:rPr>
        <w:t>Valuation Percentage</w:t>
      </w:r>
      <w:r>
        <w:rPr>
          <w:rFonts w:cs="Arial Narrow" w:ascii="Arial Narrow" w:hAnsi="Arial Narrow"/>
          <w:sz w:val="18"/>
        </w:rPr>
        <w:t>" of 100%, unless either a Letter of Credit Default applies to, or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Exposed Party</w:t>
      </w:r>
      <w:r>
        <w:rPr>
          <w:rFonts w:cs="Arial Narrow" w:ascii="Arial Narrow" w:hAnsi="Arial Narrow"/>
          <w:sz w:val="18"/>
        </w:rPr>
        <w:t>" has the meaning attributed to it in Section 2.</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Exposure</w:t>
      </w:r>
      <w:r>
        <w:rPr>
          <w:rFonts w:cs="Arial Narrow" w:ascii="Arial Narrow" w:hAnsi="Arial Narrow"/>
          <w:sz w:val="18"/>
        </w:rPr>
        <w:t>" for each Transaction means, without duplication:  (a) in respect of a Transaction for which a payment has been determined and is due and owing but not yet paid, the amount of such payment, and (b) the Current Value of a Transaction, in each case with the party that would be due and owed such amount from the other party having Exposure to the other party in such amount.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Exposure Amount</w:t>
      </w:r>
      <w:r>
        <w:rPr>
          <w:rFonts w:cs="Arial Narrow" w:ascii="Arial Narrow" w:hAnsi="Arial Narrow"/>
          <w:sz w:val="18"/>
        </w:rPr>
        <w:t>" has the meaning attributed to it in Section 2.</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Exposure Threshold</w:t>
      </w:r>
      <w:r>
        <w:rPr>
          <w:rFonts w:cs="Arial Narrow" w:ascii="Arial Narrow" w:hAnsi="Arial Narrow"/>
          <w:sz w:val="18"/>
        </w:rPr>
        <w:t>" means, with respect to ECC, $___________, and with respect to Counterparty, $__________; provided, the Exposure Threshold for a party shall be zero upon the occurrence and during the continuance of an Event of Default, a Potential Event of Default, or a Material Adverse Change with respect to such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Independent Amount</w:t>
      </w:r>
      <w:r>
        <w:rPr>
          <w:rFonts w:cs="Arial Narrow" w:ascii="Arial Narrow" w:hAnsi="Arial Narrow"/>
          <w:sz w:val="18"/>
        </w:rPr>
        <w:t>" means, with respect to a party, the amount specified as such for that party in each Confirmation, or if no amount is specified, zero.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Letter of Credit</w:t>
      </w:r>
      <w:r>
        <w:rPr>
          <w:rFonts w:cs="Arial Narrow" w:ascii="Arial Narrow" w:hAnsi="Arial Narrow"/>
          <w:sz w:val="18"/>
        </w:rPr>
        <w:t xml:space="preserve">" means an irrevocable, transferable, standby letter of credit, issued by a major U.S. commercial bank or a non U.S. commercial bank with a U.S. branch office with a Credit Rating of at least "A-" by S&amp;P and "A3" by Moody's, utilizing the form set forth in </w:t>
      </w:r>
      <w:r>
        <w:rPr>
          <w:rFonts w:cs="Arial Narrow" w:ascii="Arial Narrow" w:hAnsi="Arial Narrow"/>
          <w:sz w:val="18"/>
          <w:u w:val="single"/>
        </w:rPr>
        <w:t>Schedule 1</w:t>
      </w:r>
      <w:r>
        <w:rPr>
          <w:rFonts w:cs="Arial Narrow" w:ascii="Arial Narrow" w:hAnsi="Arial Narrow"/>
          <w:sz w:val="18"/>
        </w:rPr>
        <w:t xml:space="preserve"> attached hereto, with such changes to the terms in that form as the issuing bank may require and as may be acceptable to the beneficiary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Letter of Credit Default</w:t>
      </w:r>
      <w:r>
        <w:rPr>
          <w:rFonts w:cs="Arial Narrow" w:ascii="Arial Narrow" w:hAnsi="Arial Narrow"/>
          <w:sz w:val="18"/>
        </w:rPr>
        <w:t>" means with respect to an outstanding Letter of Credit, the occurrence of any of the following events:  (a) the issuer shall fail to maintain a Credit Rating of at least "A-" by S&amp;P or "A3" by Moody's; (b) the issuer shall fail to comply with or perform its obligations under such Letter of Credit if such failure shall be continuing after the lapse of any applicable grace period; (c) the issuer shall disaffirm, disclaim, repudiate, or reject, in whole or in part, or challenge the validity of, such Letter of Credit; (d) such Letter of Credit shall expire or terminate, or shall fail or cease to be in full force and effect at any time during the term of the Agreement; or (e) any event analogous to an Insolvency Event shall occur with respect to the issuer; provided, no Letter of Credit Default shall occur after the time such Letter of Credit is required to be canceled or returned to the Non-Exposed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Material Adverse Change</w:t>
      </w:r>
      <w:r>
        <w:rPr>
          <w:rFonts w:cs="Arial Narrow" w:ascii="Arial Narrow" w:hAnsi="Arial Narrow"/>
          <w:sz w:val="18"/>
        </w:rPr>
        <w:t xml:space="preserve">" means </w:t>
      </w:r>
      <w:r>
        <w:rPr>
          <w:rFonts w:cs="Arial Narrow" w:ascii="Arial Narrow" w:hAnsi="Arial Narrow"/>
          <w:color w:val="FF0000"/>
          <w:sz w:val="18"/>
        </w:rPr>
        <w:t>[</w:t>
      </w:r>
      <w:r>
        <w:rPr>
          <w:rFonts w:cs="Arial Narrow" w:ascii="Arial Narrow" w:hAnsi="Arial Narrow"/>
          <w:sz w:val="18"/>
        </w:rPr>
        <w:t>insert from ISDA Schedule choices</w:t>
      </w:r>
      <w:r>
        <w:rPr>
          <w:rFonts w:cs="Arial Narrow" w:ascii="Arial Narrow" w:hAnsi="Arial Narrow"/>
          <w:color w:val="FF0000"/>
          <w:sz w:val="18"/>
        </w:rPr>
        <w:t>]</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Moody's</w:t>
      </w:r>
      <w:r>
        <w:rPr>
          <w:rFonts w:cs="Arial Narrow" w:ascii="Arial Narrow" w:hAnsi="Arial Narrow"/>
          <w:sz w:val="18"/>
        </w:rPr>
        <w:t>" means Moody's Investors Services, Inc. or its successor.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Net Exposure</w:t>
      </w:r>
      <w:r>
        <w:rPr>
          <w:rFonts w:cs="Arial Narrow" w:ascii="Arial Narrow" w:hAnsi="Arial Narrow"/>
          <w:sz w:val="18"/>
        </w:rPr>
        <w:t>" has the meaning attributed to it in Section 2.</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Non</w:t>
        <w:noBreakHyphen/>
        <w:t>Exposed Party</w:t>
      </w:r>
      <w:r>
        <w:rPr>
          <w:rFonts w:cs="Arial Narrow" w:ascii="Arial Narrow" w:hAnsi="Arial Narrow"/>
          <w:sz w:val="18"/>
        </w:rPr>
        <w:t>" has the meaning attributed to it in Section 2.</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Non-Requesting Party</w:t>
      </w:r>
      <w:r>
        <w:rPr>
          <w:rFonts w:cs="Arial Narrow" w:ascii="Arial Narrow" w:hAnsi="Arial Narrow"/>
          <w:sz w:val="18"/>
        </w:rPr>
        <w:t>" means the party to which a request is made to reduce the amount of Performance Assurance previously provided by the Requesting Party for the benefit of the Non-Requesting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Performance Assurance</w:t>
      </w:r>
      <w:r>
        <w:rPr>
          <w:rFonts w:cs="Arial Narrow" w:ascii="Arial Narrow" w:hAnsi="Arial Narrow"/>
          <w:sz w:val="18"/>
        </w:rPr>
        <w:t>" means all Eligible Collateral, other property, and all proceeds thereof that have been Transferred to or received by the Exposed Party and not Transferred to the Non-Exposed Party pursuant to Section 3 or released by the Exposed Party, to be held in any jurisdiction in the United States or Canada.</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Potential Event of Default</w:t>
      </w:r>
      <w:r>
        <w:rPr>
          <w:rFonts w:cs="Arial Narrow" w:ascii="Arial Narrow" w:hAnsi="Arial Narrow"/>
          <w:sz w:val="18"/>
        </w:rPr>
        <w:t>" means an event that would constitute an Event of Default with the lapse of time or giving of notice or both.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Requesting Party</w:t>
      </w:r>
      <w:r>
        <w:rPr>
          <w:rFonts w:cs="Arial Narrow" w:ascii="Arial Narrow" w:hAnsi="Arial Narrow"/>
          <w:sz w:val="18"/>
        </w:rPr>
        <w:t>" means the party requesting a reduction in the amount of Performance Assurance previously provided by the Requesting Party for the benefit of the Non-Requesting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S&amp;P</w:t>
      </w:r>
      <w:r>
        <w:rPr>
          <w:rFonts w:cs="Arial Narrow" w:ascii="Arial Narrow" w:hAnsi="Arial Narrow"/>
          <w:sz w:val="18"/>
        </w:rPr>
        <w:t>" means the Standard &amp; Poor's Rating Group (a division of McGraw-Hill, Inc.) or its successor.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Transfer</w:t>
      </w:r>
      <w:r>
        <w:rPr>
          <w:rFonts w:cs="Arial Narrow" w:ascii="Arial Narrow" w:hAnsi="Arial Narrow"/>
          <w:sz w:val="18"/>
        </w:rPr>
        <w:t>" means, with respect to any Performance Assurance, and in accordance with the instructions of the Exposed Party, the Non-Exposed Party, or the Requesting Party, as applicable, delivery thereof, including, with particularity, a Letter of Credit or an amendment thereto, to the recipient.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Value</w:t>
      </w:r>
      <w:r>
        <w:rPr>
          <w:rFonts w:cs="Arial Narrow" w:ascii="Arial Narrow" w:hAnsi="Arial Narrow"/>
          <w:sz w:val="18"/>
        </w:rPr>
        <w:t>" means the Valuation Percentage times the stated amount then available under the Letter of Credit to be unconditionally drawn by the Exposed Party, or in the case of any cash proceeds thereof, the face amount.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2. </w:t>
      </w:r>
      <w:r>
        <w:rPr>
          <w:rFonts w:cs="Arial Narrow" w:ascii="Arial Narrow" w:hAnsi="Arial Narrow"/>
          <w:b/>
          <w:bCs/>
          <w:sz w:val="18"/>
          <w:u w:val="single"/>
        </w:rPr>
        <w:t>Calculations</w:t>
      </w:r>
      <w:r>
        <w:rPr>
          <w:rFonts w:cs="Arial Narrow" w:ascii="Arial Narrow" w:hAnsi="Arial Narrow"/>
          <w:sz w:val="18"/>
        </w:rPr>
        <w:t>. The "</w:t>
      </w:r>
      <w:r>
        <w:rPr>
          <w:rFonts w:cs="Arial Narrow" w:ascii="Arial Narrow" w:hAnsi="Arial Narrow"/>
          <w:sz w:val="18"/>
          <w:u w:val="single"/>
        </w:rPr>
        <w:t>Exposure Amount</w:t>
      </w:r>
      <w:r>
        <w:rPr>
          <w:rFonts w:cs="Arial Narrow" w:ascii="Arial Narrow" w:hAnsi="Arial Narrow"/>
          <w:sz w:val="18"/>
        </w:rPr>
        <w:t>" for each party shall be calculated for the total of all outstanding Transactions by calculating each party's Exposure to the other party in respect of each Transaction and totaling the Exposures for each such party.  The party having the greater Exposure Amount at any time (the "</w:t>
      </w:r>
      <w:r>
        <w:rPr>
          <w:rFonts w:cs="Arial Narrow" w:ascii="Arial Narrow" w:hAnsi="Arial Narrow"/>
          <w:sz w:val="18"/>
          <w:u w:val="single"/>
        </w:rPr>
        <w:t>Exposed Party</w:t>
      </w:r>
      <w:r>
        <w:rPr>
          <w:rFonts w:cs="Arial Narrow" w:ascii="Arial Narrow" w:hAnsi="Arial Narrow"/>
          <w:sz w:val="18"/>
        </w:rPr>
        <w:t>") shall be deemed to have a "</w:t>
      </w:r>
      <w:r>
        <w:rPr>
          <w:rFonts w:cs="Arial Narrow" w:ascii="Arial Narrow" w:hAnsi="Arial Narrow"/>
          <w:sz w:val="18"/>
          <w:u w:val="single"/>
        </w:rPr>
        <w:t>Net Exposure</w:t>
      </w:r>
      <w:r>
        <w:rPr>
          <w:rFonts w:cs="Arial Narrow" w:ascii="Arial Narrow" w:hAnsi="Arial Narrow"/>
          <w:sz w:val="18"/>
        </w:rPr>
        <w:t>" to the other party (the "</w:t>
      </w:r>
      <w:r>
        <w:rPr>
          <w:rFonts w:cs="Arial Narrow" w:ascii="Arial Narrow" w:hAnsi="Arial Narrow"/>
          <w:sz w:val="18"/>
          <w:u w:val="single"/>
        </w:rPr>
        <w:t>Non-Exposed Party</w:t>
      </w:r>
      <w:r>
        <w:rPr>
          <w:rFonts w:cs="Arial Narrow" w:ascii="Arial Narrow" w:hAnsi="Arial Narrow"/>
          <w:sz w:val="18"/>
        </w:rPr>
        <w:t>") equal to the difference between its Exposure Amount and the other party's Exposure Amount.  The "</w:t>
      </w:r>
      <w:r>
        <w:rPr>
          <w:rFonts w:cs="Arial Narrow" w:ascii="Arial Narrow" w:hAnsi="Arial Narrow"/>
          <w:sz w:val="18"/>
          <w:u w:val="single"/>
        </w:rPr>
        <w:t>Collateral Requirement</w:t>
      </w:r>
      <w:r>
        <w:rPr>
          <w:rFonts w:cs="Arial Narrow" w:ascii="Arial Narrow" w:hAnsi="Arial Narrow"/>
          <w:sz w:val="18"/>
        </w:rPr>
        <w:t>" for a Non-Exposed Party shall mean the excess, if any, of (a) the sum of the following:  (i) the Exposed Party's Net Exposure plus (ii) the aggregate of all Independent Amounts applicable to the Non-Exposed Party, minus (b) the sum of the following:  (i) the Non-Exposed Party's Exposure Threshold plus (ii) the Value of each Letter of Credit maintained by the Non-Exposed Party for the benefit of the Exposed Party and any cash proceeds thereof held by the Exposed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3. </w:t>
      </w:r>
      <w:r>
        <w:rPr>
          <w:rFonts w:cs="Arial Narrow" w:ascii="Arial Narrow" w:hAnsi="Arial Narrow"/>
          <w:b/>
          <w:bCs/>
          <w:sz w:val="18"/>
          <w:u w:val="single"/>
        </w:rPr>
        <w:t>Performance Assurance</w:t>
      </w:r>
      <w:r>
        <w:rPr>
          <w:rFonts w:cs="Arial Narrow" w:ascii="Arial Narrow" w:hAnsi="Arial Narrow"/>
          <w:sz w:val="18"/>
        </w:rPr>
        <w:t xml:space="preserve">. </w:t>
      </w:r>
      <w:r>
        <w:rPr>
          <w:rFonts w:cs="Arial Narrow" w:ascii="Arial Narrow" w:hAnsi="Arial Narrow"/>
          <w:sz w:val="18"/>
          <w:u w:val="single"/>
        </w:rPr>
        <w:t>Establishment</w:t>
      </w:r>
      <w:r>
        <w:rPr>
          <w:rFonts w:cs="Arial Narrow" w:ascii="Arial Narrow" w:hAnsi="Arial Narrow"/>
          <w:sz w:val="18"/>
        </w:rPr>
        <w:t>. On any Business Day, the Exposed Party may demand in writing that the Non-Exposed Party (a) establish and maintain (subject to increase or reduction of Performance Assurance as provided herein) Performance Assurance for the benefit of the Exposed Party equal to the Non-Exposed Party's Collateral Requirement, rounded up to the next higher integral multiple of $______________ as to Counterparty, and $_____________ as to ECC, or (b) increase the principal amount of any outstanding Letter of Credit so that after such increase the Non-Exposed Party's Collateral Requirement has been fully satisfied.  Within three Business Days after receipt of such demand, the Non-Exposed Party, at its sole cost and expense, shall either establish a Letter of Credit or increase any outstanding Letter of Credit.  Any Letter of Credit shall be delivered to the address specified by the Exposed Party.  The Non-Exposed Party shall increase the amount of the Letter of Credit or establish additional Letters of Credit if its Collateral Requirement increases and the Exposed Party demands such increased or additional Letter of Credit, all in the manner provided above.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Reduction</w:t>
      </w:r>
      <w:r>
        <w:rPr>
          <w:rFonts w:cs="Arial Narrow" w:ascii="Arial Narrow" w:hAnsi="Arial Narrow"/>
          <w:sz w:val="18"/>
        </w:rPr>
        <w:t>. On any Business Day (but no more frequently than weekly with respect to Letters of Credit), a Requesting Party may request a reduction in the amount of Performance Assurance previously provided by the Requesting Party for the benefit of the Non-Requesting Party; provided, after the requested reduction in Performance Assurance (a) the Requesting Party shall then have a Collateral Requirement of zero, (b) if at such time there are outstanding Transactions between the parties or unsatisfied obligations from the Requesting Party to the Non-Requesting Party exist with respect to any Transactions, the Non-Requesting Party shall then have and retain any Independent Amounts applicable to the Requesting Party, (c) no Event of Default or Potential Event of Default with respect to the Requesting Party shall have occurred and be continuing, and (d) no Early Termination Date or Accelerated Termination Date for which any unsatisfied payment obligations of the Requesting Party exist has occurred or been designated as a result of an Event of Default or an Event of Change with respect to the Requesting Party.  A permitted reduction in Performance Assurance shall be effected by the reduction of the amount of an outstanding Letter of Credit previously issued for the benefit of the Non-Requesting Party and the Non-Requesting Party shall take such action as is reasonably necessary to effectuate the permitted reduction.  In all cases the cost and expense of reducing Performance Assurance, including, without limitation, the reasonable costs, expenses, and attorneys' fees of the Non-Requesting Party, shall be borne by the Requesting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4. </w:t>
      </w:r>
      <w:r>
        <w:rPr>
          <w:rFonts w:cs="Arial Narrow" w:ascii="Arial Narrow" w:hAnsi="Arial Narrow"/>
          <w:b/>
          <w:bCs/>
          <w:sz w:val="18"/>
          <w:u w:val="single"/>
        </w:rPr>
        <w:t>Exposure Disputes</w:t>
      </w:r>
      <w:r>
        <w:rPr>
          <w:rFonts w:cs="Arial Narrow" w:ascii="Arial Narrow" w:hAnsi="Arial Narrow"/>
          <w:sz w:val="18"/>
        </w:rPr>
        <w:t>. If the Non-Exposed Party shall dispute the amount of Performance Assurance requested by the Exposed Party and such dispute relates to the amount of the Net Exposure claimed by the Exposed Party and not to the valuation of any Performance Assurance previously provided for the benefit of, or requested by, the Exposed Party, then the Non-Exposed Party shall (a) notify the Exposed Party of the existence and nature of the dispute not later than the close of business on the first Business Day following the date that the demand is made by the Exposed Party, and (b) provide Performance Assurance to or for the benefit of the Exposed Party in an amount equal to the Non-Exposed Party's own good faith estimate, made in a commercially reasonable manner, of its Collateral Requirement in accordance with Section 2.  If the Non-Requesting Party shall dispute the amount of Performance Assurance to be reduced by the Non-Requesting Party and such dispute relates to the amount of the Net Exposure claimed by the Non-Requesting Party and not to the valuation of any Performance Assurance previously provided for the benefit of the Non-Requesting Party, then the Non-Requesting Party shall (a) notify the Requesting Party of the existence and nature of the dispute not later than the close of business on the first Business Day following the date that the demand is made by the Requesting Party, and (b) effect the reduction of Performance Assurance in an amount equal to the Non-Requesting Party's own good faith estimate, made in a commercially reasonable manner, of the Requesting Party's Collateral Requirement not later than the close of business on the second Business Day following the date that the demand is made by the Requesting Party.  In all cases, the parties thereafter shall promptly consult together in order to reconcile the dispute.  If the parties have not been able to resolve the dispute on or before the third Business Day following the date the demand is made, then the Exposed Party or the Non-Requesting Party, as the case may be, shall recalculate its Net Exposure by requesting quotations from Reference Market-Makers (taking the arithmetic average of those obtained to obtain the average Current Value) for the purpose of recalculating the Current Value of each Transaction in respect of which the parties disagree as to the Current Value thereof, and such party shall inform the other party of the results of such recalculation.  Performance Assurance shall thereupon be provided or reduced in accordance with the results of such recalculation.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bCs/>
          <w:sz w:val="18"/>
          <w:u w:val="single"/>
        </w:rPr>
        <w:t>Letters of Credit</w:t>
      </w:r>
      <w:r>
        <w:rPr>
          <w:rFonts w:cs="Arial Narrow" w:ascii="Arial Narrow" w:hAnsi="Arial Narrow"/>
          <w:sz w:val="18"/>
        </w:rPr>
        <w:t>. Performance Assurance provided in the form of a Letter of Credit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Issuance</w:t>
      </w:r>
      <w:r>
        <w:rPr>
          <w:rFonts w:cs="Arial Narrow" w:ascii="Arial Narrow" w:hAnsi="Arial Narrow"/>
          <w:sz w:val="18"/>
        </w:rPr>
        <w:t>. Each Letter of Credit shall be provided in accordance with Section 3 and shall be maintained for the benefit of the Exposed Party.  The Non-Exposed Party may increase the amount of an outstanding Letter of Credit or establish one or more additional Letters of Credit.  The Non-Exposed Party shall (a) cause the renewal of each outstanding Letter of Credit on a timely basis as therein provided, (b) if the issuer of an outstanding Letter of Credit has indicated its intent not to renew such Letter of Credit, provide a substitute Letter of Credit at least 20 Business Days prior to the expiration of the outstanding Letter of Credit, and (c) if the issuer of an outstanding Letter of Credit shall fail to honor the Exposed Party's properly documented request to draw on such Letter of Credit, provide a substitute Letter of Credit issued by a bank acceptable to the Exposed Party within two Business Days after such refusal; provided, as a result of the Non-Exposed Party's failure to perform in accordance with (a), (b), or (c), the Non-Exposed Party's Collateral Requirement would be greater than zero.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bCs/>
          <w:sz w:val="18"/>
        </w:rPr>
      </w:pPr>
      <w:r>
        <w:rPr>
          <w:rFonts w:cs="Arial Narrow" w:ascii="Arial Narrow" w:hAnsi="Arial Narrow"/>
          <w:sz w:val="18"/>
          <w:u w:val="single"/>
        </w:rPr>
        <w:t>Draws</w:t>
      </w:r>
      <w:r>
        <w:rPr>
          <w:rFonts w:cs="Arial Narrow" w:ascii="Arial Narrow" w:hAnsi="Arial Narrow"/>
          <w:sz w:val="18"/>
        </w:rPr>
        <w:t>. Upon or at any time after the occurrence of an Accelerated Termination Date as a result of an Event of Change and the failure of the Non-Exposed Party to make all payments due and owing to the Exposed Party in accordance with the terms of the Agreement, including any related grace or notice period or both, the Exposed Party may draw on any outstanding Letter of Credit in an amount equal to the amounts owing to it.  A Letter of Credit shall provide that a drawing may be made on the Letter of Credit upon submission to the issuer of one or more certificates specifying the amounts due and owing to the Exposed Party in accordance with the specific requirements of the Letter of Credit.  Upon or at any time after the occurrence of an Event of Default with respect to the Non-Exposed Party, the Exposed Party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in excess of any such proceeds applied to past due amounts owed by the Non-Exposed Party shall be deemed Performance Assurance as security for the Non-Exposed Party's obligations to the Exposed Party and the Exposed Party shall have the rights and remedies set forth herein with respect to such cash proceeds.  The Exposed Party shall have the right to use, invest, and commingle any such excess cash proceeds; provided, the Exposed Party will exercise reasonable care to assure the safe custody of same by exercising the same degree of care as it would exercise with respect to its own property.  Notwithstanding the Exposed Party's draw under any Letter of Credit, the Non-Exposed Party shall remain liable (a) for any failure to Transfer sufficient Performance Assurance or (b) for any amounts owing to the Exposed Party and remaining unpaid after the application of the amounts so drawn by the Exposed Party.</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pPr>
      <w:r>
        <w:rPr>
          <w:rFonts w:cs="Arial Narrow" w:ascii="Arial Narrow" w:hAnsi="Arial Narrow"/>
          <w:sz w:val="18"/>
          <w:u w:val="single"/>
        </w:rPr>
        <w:t>Substitute</w:t>
      </w:r>
      <w:r>
        <w:rPr>
          <w:rFonts w:cs="Arial Narrow" w:ascii="Arial Narrow" w:hAnsi="Arial Narrow"/>
          <w:sz w:val="18"/>
        </w:rPr>
        <w:t>. A Non-Exposed Party may substitute a Letter of Credit for one or more other outstanding Letters of Credit issued for the benefit of the Exposed Party; provided, the Value of such substitute Letter of Credit shall be at least equal to the Value of the Letters of Credit being replaced (determined in good faith and in a commercially reasonable manner by the Exposed Party); and provided further, no Letter of Credit shall be canceled unless and until the Letter of Credit to be substituted therefor shall have been validly executed and issued for the benefit of the Exposed Party in accordance with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Letter of Credit Default</w:t>
      </w:r>
      <w:r>
        <w:rPr>
          <w:rFonts w:cs="Arial Narrow" w:ascii="Arial Narrow" w:hAnsi="Arial Narrow"/>
          <w:sz w:val="18"/>
        </w:rPr>
        <w:t>. Upon the occurrence of a Letter of Credit Default, the Non-Exposed Party agrees to deliver to the Exposed Party a substitute Letter of Credit on or before the second Business Day after the occurrence thereof (or the fifth Business Day after the occurrence thereof if only clause (i) under the definition of Letter of Credit Default applies).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Costs</w:t>
      </w:r>
      <w:r>
        <w:rPr>
          <w:rFonts w:cs="Arial Narrow" w:ascii="Arial Narrow" w:hAnsi="Arial Narrow"/>
          <w:sz w:val="18"/>
        </w:rPr>
        <w:t>. In all cases the costs and expenses (including, without limitation, reasonable costs, expenses, and attorneys' fees of the Exposed Party) of establishing, renewing, substituting, canceling, and increasing the amount of a Letter of Credit shall be borne by the Non-Exposed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6. </w:t>
      </w:r>
      <w:r>
        <w:rPr>
          <w:rFonts w:cs="Arial Narrow" w:ascii="Arial Narrow" w:hAnsi="Arial Narrow"/>
          <w:b/>
          <w:bCs/>
          <w:sz w:val="18"/>
          <w:u w:val="single"/>
        </w:rPr>
        <w:t>Representations</w:t>
      </w:r>
      <w:r>
        <w:rPr>
          <w:rFonts w:cs="Arial Narrow" w:ascii="Arial Narrow" w:hAnsi="Arial Narrow"/>
          <w:sz w:val="18"/>
        </w:rPr>
        <w:t xml:space="preserve">. Each party continuously represents and warrants to the other party that: (a) it has the power and authority under the law of the jurisdiction of its organization or incorporation and under its organizational and constituent documents to grant to the Exposed Party a valid, enforceable, first-priority security interest in, and lien on, all Performance Assurance (other than Letters of Credit, but including cash proceeds thereof) that it provides and the Non-Exposed Party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Performance Assurance,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but including cash proceeds thereof) upon receipt thereof; (d) the performance by it of its obligations under this </w:t>
      </w:r>
      <w:r>
        <w:rPr>
          <w:rFonts w:cs="Arial Narrow" w:ascii="Arial Narrow" w:hAnsi="Arial Narrow"/>
          <w:sz w:val="18"/>
          <w:u w:val="single"/>
        </w:rPr>
        <w:t>Annex A</w:t>
      </w:r>
      <w:r>
        <w:rPr>
          <w:rFonts w:cs="Arial Narrow" w:ascii="Arial Narrow" w:hAnsi="Arial Narrow"/>
          <w:sz w:val="18"/>
        </w:rPr>
        <w:t xml:space="preserve"> will not result in the creation of any security interest, lien or other encumbrance on any Performance Assurance other than the security interest and lien granted pursuant to this </w:t>
      </w:r>
      <w:r>
        <w:rPr>
          <w:rFonts w:cs="Arial Narrow" w:ascii="Arial Narrow" w:hAnsi="Arial Narrow"/>
          <w:sz w:val="18"/>
          <w:u w:val="single"/>
        </w:rPr>
        <w:t>Annex A</w:t>
      </w:r>
      <w:r>
        <w:rPr>
          <w:rFonts w:cs="Arial Narrow" w:ascii="Arial Narrow" w:hAnsi="Arial Narrow"/>
          <w:sz w:val="18"/>
        </w:rPr>
        <w:t>; and (e) on each occasion that it, as the Non-Exposed Party, causes the issuance, renewal, substitution, or increase of a Letter of Credit, such Letter of Credit will be the legal, valid, and binding obligation of the issuer thereof, enforceable in accordance with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7. </w:t>
      </w:r>
      <w:r>
        <w:rPr>
          <w:rFonts w:cs="Arial Narrow" w:ascii="Arial Narrow" w:hAnsi="Arial Narrow"/>
          <w:b/>
          <w:bCs/>
          <w:sz w:val="18"/>
          <w:u w:val="single"/>
        </w:rPr>
        <w:t>Exposed Party's Rights and Remedies</w:t>
      </w:r>
      <w:r>
        <w:rPr>
          <w:rFonts w:cs="Arial Narrow" w:ascii="Arial Narrow" w:hAnsi="Arial Narrow"/>
          <w:sz w:val="18"/>
        </w:rPr>
        <w:t xml:space="preserve">. If at any time (a) an Event of Default or Event of Change with respect to the Non-Exposed Party has occurred and is continuing or (b) an Early Termination Date or Accelerated Termination Date has occurred or been designated as a result of an Event of Default or an Event of Change with respect to the Non-Exposed Party, then the Exposed Party may do any one or more of the following: (i) exercise any of the rights and remedies of a secured party with respect to the Performance Assurance, including any such rights and remedies under law then in effect; (ii) exercise its rights of setoff against any and all property of the Non-Exposed Party in the possession of the Exposed Party or its agent; and (iii) draw on any outstanding Letter of Credit issued for its benefit in accordance herewith.  The Exposed Party shall either (a) apply the proceeds of the Performance Assurance realized upon the exercise of any such rights or remedies to reduce the Non-Exposed Party's obligations under the Agreement or this </w:t>
      </w:r>
      <w:r>
        <w:rPr>
          <w:rFonts w:cs="Arial Narrow" w:ascii="Arial Narrow" w:hAnsi="Arial Narrow"/>
          <w:sz w:val="18"/>
          <w:u w:val="single"/>
        </w:rPr>
        <w:t>Annex A</w:t>
      </w:r>
      <w:r>
        <w:rPr>
          <w:rFonts w:cs="Arial Narrow" w:ascii="Arial Narrow" w:hAnsi="Arial Narrow"/>
          <w:sz w:val="18"/>
        </w:rPr>
        <w:t xml:space="preserve"> (the Non-Exposed Party remaining liable for any amounts owing to the Exposed Party after such application), subject to the Exposed Party's obligation to return any surplus proceeds remaining after such obligations are satisfied in full, or (b) hold such proceeds as collateral security for the Non-Exposed Party's obligations under the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8. </w:t>
      </w:r>
      <w:r>
        <w:rPr>
          <w:rFonts w:cs="Arial Narrow" w:ascii="Arial Narrow" w:hAnsi="Arial Narrow"/>
          <w:b/>
          <w:bCs/>
          <w:sz w:val="18"/>
          <w:u w:val="single"/>
        </w:rPr>
        <w:t>Non-Exposed Party's Rights and Remedies</w:t>
      </w:r>
      <w:r>
        <w:rPr>
          <w:rFonts w:cs="Arial Narrow" w:ascii="Arial Narrow" w:hAnsi="Arial Narrow"/>
          <w:sz w:val="18"/>
        </w:rPr>
        <w:t>. If at any time an Early Termination Date or Accelerated Termination Date has occurred or been designated as the result of an Event of Default or Event of Change with respect to the Exposed Party, then, unless the Accelerated Termination Date relates to less than all Transactions where the Exposed Party has made all payments due and owing to the Non-Exposed Party, (a) the Exposed Party will be obligated immediately to Transfer all Performance Assurance (other than Letters of Credit) to the Non-Exposed Party, and (b) the Non-Exposed Party may do any one or more of the following: (i) exercise any of the rights and remedies of a pledgor with respect to the Performance Assurance (other than Letters of Credit), including any such rights and remedies under law then in effect; (ii) to the extent that the Performance Assurance (other than Letters of Credit) is not Transferred to the Non-Exposed Party as required in (a) above, setoff amounts payable to the Exposed Party against the Performance Assurance (other than Letters of Credit) held by the Exposed Party or to the extent its rights to setoff are not exercised, withhold payment of any remaining amounts payable by the Non-Exposed Party, up to the value of any remaining Performance Assurance (other than Letters of Credit) held by the Exposed Party, until the Performance Assurance (other than Letters of Credit) is Transferred to the Non-Exposed Party; and (iii) exercise rights and remedies available to the Non-Exposed Party under the terms of any Letter of Credit.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9. </w:t>
      </w:r>
      <w:r>
        <w:rPr>
          <w:rFonts w:cs="Arial Narrow" w:ascii="Arial Narrow" w:hAnsi="Arial Narrow"/>
          <w:b/>
          <w:bCs/>
          <w:sz w:val="18"/>
          <w:u w:val="single"/>
        </w:rPr>
        <w:t>Security Interest</w:t>
      </w:r>
      <w:r>
        <w:rPr>
          <w:rFonts w:cs="Arial Narrow" w:ascii="Arial Narrow" w:hAnsi="Arial Narrow"/>
          <w:sz w:val="18"/>
        </w:rPr>
        <w:t>. To secure its obligations under the Agreement, each party hereby grants to the other party a present and continuing first-priority security interest in, lien on, and right of setoff against, all Performance Assurance (other than Letters of Credit, but including cash proceeds thereof) whether now or hereafter held by, on behalf of, or for the benefit of, such other party, and each party agrees to take such action as the other party reasonably requires in order to perfect the other party's first-priority continuing security interest in, lien on, and right of setoff against, such Performance Assurance.</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10"/>
          <w:footerReference w:type="default" r:id="rId11"/>
          <w:footerReference w:type="first" r:id="rId12"/>
          <w:type w:val="nextPage"/>
          <w:pgSz w:w="12240" w:h="15840"/>
          <w:pgMar w:left="1008" w:right="1008" w:gutter="0" w:header="720" w:top="1008" w:footer="720" w:bottom="1008"/>
          <w:pgNumType w:start="1" w:fmt="decimal"/>
          <w:cols w:num="2" w:space="708" w:equalWidth="true" w:sep="false"/>
          <w:formProt w:val="false"/>
          <w:textDirection w:val="lrTb"/>
          <w:docGrid w:type="default" w:linePitch="360" w:charSpace="0"/>
        </w:sectPr>
        <w:pStyle w:val="Normal"/>
        <w:jc w:val="both"/>
        <w:rPr/>
      </w:pPr>
      <w:r>
        <w:rPr>
          <w:rFonts w:cs="Arial Narrow" w:ascii="Arial Narrow" w:hAnsi="Arial Narrow"/>
          <w:sz w:val="18"/>
        </w:rPr>
        <w:t xml:space="preserve">10. </w:t>
      </w:r>
      <w:r>
        <w:rPr>
          <w:rFonts w:cs="Arial Narrow" w:ascii="Arial Narrow" w:hAnsi="Arial Narrow"/>
          <w:b/>
          <w:bCs/>
          <w:sz w:val="18"/>
          <w:u w:val="single"/>
        </w:rPr>
        <w:t>Expenses</w:t>
      </w:r>
      <w:r>
        <w:rPr>
          <w:rFonts w:cs="Arial Narrow" w:ascii="Arial Narrow" w:hAnsi="Arial Narrow"/>
          <w:sz w:val="18"/>
        </w:rPr>
        <w:t xml:space="preserve">. Except as expressly set forth in the Agreement, each party will pay its own costs and expenses in connection with performing its obligations under this </w:t>
      </w:r>
      <w:r>
        <w:rPr>
          <w:rFonts w:cs="Arial Narrow" w:ascii="Arial Narrow" w:hAnsi="Arial Narrow"/>
          <w:sz w:val="18"/>
          <w:u w:val="single"/>
        </w:rPr>
        <w:t>Annex A</w:t>
      </w:r>
      <w:r>
        <w:rPr>
          <w:rFonts w:cs="Arial Narrow" w:ascii="Arial Narrow" w:hAnsi="Arial Narrow"/>
          <w:sz w:val="18"/>
        </w:rPr>
        <w:t xml:space="preserve"> and neither party will be liable for any costs or expenses incurred by the other party in connection herewith.  The Non-Exposed Party will promptly pay when due all taxes, assessments, or charges of any nature that are imposed with respect to Performance Assurance held by the Exposed Party upon becoming aware of same.  All reasonable costs and expenses incurred by or on behalf of the Exposed Party or the Non-Exposed Party in connection with the liquidation or application of any Performance Assurance hereunder will be payable on demand pursuant to the Agreement by the Defaulting Party or, if there is no Defaulting Party, equally by the parties.</w:t>
      </w:r>
    </w:p>
    <w:p>
      <w:pPr>
        <w:pStyle w:val="Normal"/>
        <w:jc w:val="both"/>
        <w:rPr>
          <w:rFonts w:ascii="Arial Narrow" w:hAnsi="Arial Narrow" w:cs="Arial Narrow"/>
          <w:color w:val="FF0000"/>
          <w:sz w:val="18"/>
        </w:rPr>
      </w:pPr>
      <w:r>
        <w:rPr>
          <w:rFonts w:cs="Arial Narrow" w:ascii="Arial Narrow" w:hAnsi="Arial Narrow"/>
          <w:color w:val="FF0000"/>
          <w:sz w:val="18"/>
        </w:rPr>
        <w:t>[One Way, Letters of Credit Form]</w:t>
      </w:r>
    </w:p>
    <w:p>
      <w:pPr>
        <w:pStyle w:val="Normal"/>
        <w:jc w:val="center"/>
        <w:rPr>
          <w:rFonts w:ascii="Arial Narrow" w:hAnsi="Arial Narrow" w:cs="Arial Narrow"/>
          <w:b/>
          <w:bCs/>
          <w:sz w:val="18"/>
        </w:rPr>
      </w:pPr>
      <w:r>
        <w:rPr>
          <w:rFonts w:cs="Arial Narrow" w:ascii="Arial Narrow" w:hAnsi="Arial Narrow"/>
          <w:b/>
          <w:bCs/>
          <w:sz w:val="18"/>
        </w:rPr>
        <w:t>ANNEX A</w:t>
        <w:br/>
      </w:r>
      <w:r>
        <w:rPr>
          <w:rFonts w:cs="Arial Narrow" w:ascii="Arial Narrow" w:hAnsi="Arial Narrow"/>
          <w:b/>
          <w:bCs/>
          <w:sz w:val="18"/>
          <w:u w:val="single"/>
        </w:rPr>
        <w:t>CREDIT SUPPORT ANNEX</w:t>
      </w:r>
    </w:p>
    <w:p>
      <w:pPr>
        <w:pStyle w:val="Normal"/>
        <w:jc w:val="both"/>
        <w:rPr/>
      </w:pPr>
      <w:r>
        <w:rPr>
          <w:rFonts w:cs="Arial Narrow" w:ascii="Arial Narrow" w:hAnsi="Arial Narrow"/>
          <w:sz w:val="18"/>
        </w:rPr>
        <w:t xml:space="preserve">This Credit Support Annex supplements, forms part of, and is incorporated into the Agreement.  Capitalized terms used, but not defined, in this </w:t>
      </w:r>
      <w:r>
        <w:rPr>
          <w:rFonts w:cs="Arial Narrow" w:ascii="Arial Narrow" w:hAnsi="Arial Narrow"/>
          <w:sz w:val="18"/>
          <w:u w:val="single"/>
        </w:rPr>
        <w:t>Annex A</w:t>
      </w:r>
      <w:r>
        <w:rPr>
          <w:rFonts w:cs="Arial Narrow" w:ascii="Arial Narrow" w:hAnsi="Arial Narrow"/>
          <w:sz w:val="18"/>
        </w:rPr>
        <w:t xml:space="preserve"> have the meanings given such terms in the Master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1. </w:t>
      </w:r>
      <w:r>
        <w:rPr>
          <w:rFonts w:cs="Arial Narrow" w:ascii="Arial Narrow" w:hAnsi="Arial Narrow"/>
          <w:b/>
          <w:bCs/>
          <w:sz w:val="18"/>
          <w:u w:val="single"/>
        </w:rPr>
        <w:t>Definitions</w:t>
      </w:r>
      <w:r>
        <w:rPr>
          <w:rFonts w:cs="Arial Narrow" w:ascii="Arial Narrow" w:hAnsi="Arial Narrow"/>
          <w:sz w:val="18"/>
        </w:rPr>
        <w:t xml:space="preserve">. As used in this </w:t>
      </w:r>
      <w:r>
        <w:rPr>
          <w:rFonts w:cs="Arial Narrow" w:ascii="Arial Narrow" w:hAnsi="Arial Narrow"/>
          <w:sz w:val="18"/>
          <w:u w:val="single"/>
        </w:rPr>
        <w:t>Annex A</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Collateral Requirement</w:t>
      </w:r>
      <w:r>
        <w:rPr>
          <w:rFonts w:cs="Arial Narrow" w:ascii="Arial Narrow" w:hAnsi="Arial Narrow"/>
          <w:sz w:val="18"/>
        </w:rPr>
        <w:t>" has the meaning attributed to it in Section 2.</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Credit Rating</w:t>
      </w:r>
      <w:r>
        <w:rPr>
          <w:rFonts w:cs="Arial Narrow" w:ascii="Arial Narrow" w:hAnsi="Arial Narrow"/>
          <w:sz w:val="18"/>
        </w:rPr>
        <w:t xml:space="preserve">" means, with respect to a party or entity on any date of determination, the respective rating then assigned to its unsecured and senior long-term debt or deposit obligations (not supported by third party credit enhancement) by S&amp;P, Moody's, or the specified rating agency or agencies.  </w:t>
      </w:r>
      <w:r>
        <w:rPr>
          <w:rFonts w:cs="Arial Narrow" w:ascii="Arial Narrow" w:hAnsi="Arial Narrow"/>
          <w:color w:val="FF0000"/>
          <w:sz w:val="18"/>
        </w:rPr>
        <w:t>[</w:t>
      </w:r>
      <w:r>
        <w:rPr>
          <w:rFonts w:cs="Arial Narrow" w:ascii="Arial Narrow" w:hAnsi="Arial Narrow"/>
          <w:sz w:val="18"/>
        </w:rPr>
        <w:t>If such ratings are not available, then "Credit Rating" shall mean the S&amp;P corporate bond rating.</w:t>
      </w:r>
      <w:r>
        <w:rPr>
          <w:rFonts w:cs="Arial Narrow" w:ascii="Arial Narrow" w:hAnsi="Arial Narrow"/>
          <w:color w:val="FF0000"/>
          <w:sz w:val="18"/>
        </w:rPr>
        <w:t>]</w:t>
      </w:r>
    </w:p>
    <w:p>
      <w:pPr>
        <w:pStyle w:val="Normal"/>
        <w:jc w:val="both"/>
        <w:rPr>
          <w:rFonts w:ascii="Arial Narrow" w:hAnsi="Arial Narrow" w:cs="Arial Narrow"/>
          <w:color w:val="FF0000"/>
          <w:sz w:val="18"/>
        </w:rPr>
      </w:pPr>
      <w:r>
        <w:rPr>
          <w:rFonts w:cs="Arial Narrow" w:ascii="Arial Narrow" w:hAnsi="Arial Narrow"/>
          <w:color w:val="FF0000"/>
          <w:sz w:val="18"/>
        </w:rPr>
      </w:r>
    </w:p>
    <w:p>
      <w:pPr>
        <w:pStyle w:val="Normal"/>
        <w:jc w:val="both"/>
        <w:rPr/>
      </w:pPr>
      <w:r>
        <w:rPr>
          <w:rFonts w:cs="Arial Narrow" w:ascii="Arial Narrow" w:hAnsi="Arial Narrow"/>
          <w:sz w:val="18"/>
        </w:rPr>
        <w:t>"</w:t>
      </w:r>
      <w:r>
        <w:rPr>
          <w:rFonts w:cs="Arial Narrow" w:ascii="Arial Narrow" w:hAnsi="Arial Narrow"/>
          <w:sz w:val="18"/>
          <w:u w:val="single"/>
        </w:rPr>
        <w:t>Current Value</w:t>
      </w:r>
      <w:r>
        <w:rPr>
          <w:rFonts w:cs="Arial Narrow" w:ascii="Arial Narrow" w:hAnsi="Arial Narrow"/>
          <w:sz w:val="18"/>
        </w:rPr>
        <w:t>" of an outstanding Transaction, on any date, means the amount, as calculated by ECC in good faith and in a commercially reasonable manner, which a party would pay to or receive from a third party in an arm's-length transaction as consideration for the third party's entering into a new transaction with such party at that time and in which such party holds the same position as in the outstanding Transaction, assuming that the term of the new transaction encompasses only uncompleted Calculation Periods and that the new transaction is in all other respects identical to the outstanding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Eligible Collateral</w:t>
      </w:r>
      <w:r>
        <w:rPr>
          <w:rFonts w:cs="Arial Narrow" w:ascii="Arial Narrow" w:hAnsi="Arial Narrow"/>
          <w:sz w:val="18"/>
        </w:rPr>
        <w:t>" means a Letter of Credit with a "</w:t>
      </w:r>
      <w:r>
        <w:rPr>
          <w:rFonts w:cs="Arial Narrow" w:ascii="Arial Narrow" w:hAnsi="Arial Narrow"/>
          <w:sz w:val="18"/>
          <w:u w:val="single"/>
        </w:rPr>
        <w:t>Valuation Percentage</w:t>
      </w:r>
      <w:r>
        <w:rPr>
          <w:rFonts w:cs="Arial Narrow" w:ascii="Arial Narrow" w:hAnsi="Arial Narrow"/>
          <w:sz w:val="18"/>
        </w:rPr>
        <w:t>" of 100%, unless either a Letter of Credit Default applies to, or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Exposure</w:t>
      </w:r>
      <w:r>
        <w:rPr>
          <w:rFonts w:cs="Arial Narrow" w:ascii="Arial Narrow" w:hAnsi="Arial Narrow"/>
          <w:sz w:val="18"/>
        </w:rPr>
        <w:t>" for each Transaction means, without duplication:  (a) in respect of a Transaction for which a payment has been determined and is due and owing but not yet paid, the amount of such payment, and (b) the Current Value of a Transaction, in each case with the party that would be due and owed such amount from the other party having Exposure to the other party in such amount.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Exposure Amount</w:t>
      </w:r>
      <w:r>
        <w:rPr>
          <w:rFonts w:cs="Arial Narrow" w:ascii="Arial Narrow" w:hAnsi="Arial Narrow"/>
          <w:sz w:val="18"/>
        </w:rPr>
        <w:t>" has the meaning attributed to it in Section 2.</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Exposure Threshold</w:t>
      </w:r>
      <w:r>
        <w:rPr>
          <w:rFonts w:cs="Arial Narrow" w:ascii="Arial Narrow" w:hAnsi="Arial Narrow"/>
          <w:sz w:val="18"/>
        </w:rPr>
        <w:t>" means, with respect to Counterparty, $__________; provided, the Exposure Threshold shall be zero upon the occurrence and during the continuance of an Event of Default, a Potential Event of Default, or a Material Adverse Change with respect to Counterparty.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Independent Amount</w:t>
      </w:r>
      <w:r>
        <w:rPr>
          <w:rFonts w:cs="Arial Narrow" w:ascii="Arial Narrow" w:hAnsi="Arial Narrow"/>
          <w:sz w:val="18"/>
        </w:rPr>
        <w:t>" means, with respect to Counterparty, the amount specified as such for Counterparty in each Confirmation, or if no amount is specified, zero.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Letter of Credit</w:t>
      </w:r>
      <w:r>
        <w:rPr>
          <w:rFonts w:cs="Arial Narrow" w:ascii="Arial Narrow" w:hAnsi="Arial Narrow"/>
          <w:sz w:val="18"/>
        </w:rPr>
        <w:t xml:space="preserve">" means an irrevocable, transferable, standby letter of credit, issued by a major U.S. commercial bank or a non U.S. commercial bank with a U.S. branch office with a Credit Rating of at least "A-" by S&amp;P and "A3" by Moody's, utilizing the form set forth in </w:t>
      </w:r>
      <w:r>
        <w:rPr>
          <w:rFonts w:cs="Arial Narrow" w:ascii="Arial Narrow" w:hAnsi="Arial Narrow"/>
          <w:sz w:val="18"/>
          <w:u w:val="single"/>
        </w:rPr>
        <w:t>Schedule 1</w:t>
      </w:r>
      <w:r>
        <w:rPr>
          <w:rFonts w:cs="Arial Narrow" w:ascii="Arial Narrow" w:hAnsi="Arial Narrow"/>
          <w:sz w:val="18"/>
        </w:rPr>
        <w:t xml:space="preserve"> attached hereto, with such changes to the terms in that form as the issuing bank may require and as may be acceptable to ECC.</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Letter of Credit Default</w:t>
      </w:r>
      <w:r>
        <w:rPr>
          <w:rFonts w:cs="Arial Narrow" w:ascii="Arial Narrow" w:hAnsi="Arial Narrow"/>
          <w:sz w:val="18"/>
        </w:rPr>
        <w:t>" means with respect to an outstanding Letter of Credit, the occurrence of any of the following events:  (a) the issuer shall fail to maintain a Credit Rating of at least "A-" by S&amp;P or "A3" by Moody's; (b) the issuer shall fail to comply with or perform its obligations under such Letter of Credit if such failure shall be continuing after the lapse of any applicable grace period; (c) the issuer shall disaffirm, disclaim, repudiate, or reject, in whole or in part, or challenge the validity of, such Letter of Credit; (d) such Letter of Credit shall expire or terminate, or shall fail or cease to be in full force and effect at any time during the term of the Agreement; or (e) any event analogous to an Insolvency Event shall occur with respect to the issuer; provided, no Letter of Credit Default shall occur after the time such Letter of Credit is required to be canceled or returned to Counterparty.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Material Adverse Change</w:t>
      </w:r>
      <w:r>
        <w:rPr>
          <w:rFonts w:cs="Arial Narrow" w:ascii="Arial Narrow" w:hAnsi="Arial Narrow"/>
          <w:sz w:val="18"/>
        </w:rPr>
        <w:t xml:space="preserve">" means </w:t>
      </w:r>
      <w:r>
        <w:rPr>
          <w:rFonts w:cs="Arial Narrow" w:ascii="Arial Narrow" w:hAnsi="Arial Narrow"/>
          <w:color w:val="FF0000"/>
          <w:sz w:val="18"/>
        </w:rPr>
        <w:t>[</w:t>
      </w:r>
      <w:r>
        <w:rPr>
          <w:rFonts w:cs="Arial Narrow" w:ascii="Arial Narrow" w:hAnsi="Arial Narrow"/>
          <w:sz w:val="18"/>
        </w:rPr>
        <w:t>insert from ISDA Schedule choices</w:t>
      </w:r>
      <w:r>
        <w:rPr>
          <w:rFonts w:cs="Arial Narrow" w:ascii="Arial Narrow" w:hAnsi="Arial Narrow"/>
          <w:color w:val="FF0000"/>
          <w:sz w:val="18"/>
        </w:rPr>
        <w:t>]</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Moody's</w:t>
      </w:r>
      <w:r>
        <w:rPr>
          <w:rFonts w:cs="Arial Narrow" w:ascii="Arial Narrow" w:hAnsi="Arial Narrow"/>
          <w:sz w:val="18"/>
        </w:rPr>
        <w:t>" means Moody's Investors Services, Inc. or its successor.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Net Exposure</w:t>
      </w:r>
      <w:r>
        <w:rPr>
          <w:rFonts w:cs="Arial Narrow" w:ascii="Arial Narrow" w:hAnsi="Arial Narrow"/>
          <w:sz w:val="18"/>
        </w:rPr>
        <w:t>" has the meaning attributed to it in Section 2.</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Performance Assurance</w:t>
      </w:r>
      <w:r>
        <w:rPr>
          <w:rFonts w:cs="Arial Narrow" w:ascii="Arial Narrow" w:hAnsi="Arial Narrow"/>
          <w:sz w:val="18"/>
        </w:rPr>
        <w:t>" means all Eligible Collateral, other property, and all proceeds thereof that have been Transferred to or received by ECC and not Transferred to Counterparty pursuant to Section 3 or released by ECC, to be held in any jurisdiction in the United States or Canada.</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Potential Event of Default</w:t>
      </w:r>
      <w:r>
        <w:rPr>
          <w:rFonts w:cs="Arial Narrow" w:ascii="Arial Narrow" w:hAnsi="Arial Narrow"/>
          <w:sz w:val="18"/>
        </w:rPr>
        <w:t>" means an event that would constitute an Event of Default with the lapse of time or giving of notice or both.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S&amp;P</w:t>
      </w:r>
      <w:r>
        <w:rPr>
          <w:rFonts w:cs="Arial Narrow" w:ascii="Arial Narrow" w:hAnsi="Arial Narrow"/>
          <w:sz w:val="18"/>
        </w:rPr>
        <w:t>" means the Standard &amp; Poor's Rating Group (a division of McGraw-Hill, Inc.) or its successor.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Transfer</w:t>
      </w:r>
      <w:r>
        <w:rPr>
          <w:rFonts w:cs="Arial Narrow" w:ascii="Arial Narrow" w:hAnsi="Arial Narrow"/>
          <w:sz w:val="18"/>
        </w:rPr>
        <w:t>" means, with respect to any Performance Assurance, delivery thereof, including, with particularity, a Letter of Credit or an amendment thereto, to the recipient.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Value</w:t>
      </w:r>
      <w:r>
        <w:rPr>
          <w:rFonts w:cs="Arial Narrow" w:ascii="Arial Narrow" w:hAnsi="Arial Narrow"/>
          <w:sz w:val="18"/>
        </w:rPr>
        <w:t>" means the Valuation Percentage times the stated amount then available under the Letter of Credit to be unconditionally drawn by the Exposed Party, or in the case of any cash proceeds thereof, the face amount.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2. </w:t>
      </w:r>
      <w:r>
        <w:rPr>
          <w:rFonts w:cs="Arial Narrow" w:ascii="Arial Narrow" w:hAnsi="Arial Narrow"/>
          <w:b/>
          <w:bCs/>
          <w:sz w:val="18"/>
          <w:u w:val="single"/>
        </w:rPr>
        <w:t>Calculations</w:t>
      </w:r>
      <w:r>
        <w:rPr>
          <w:rFonts w:cs="Arial Narrow" w:ascii="Arial Narrow" w:hAnsi="Arial Narrow"/>
          <w:sz w:val="18"/>
        </w:rPr>
        <w:t>. The "</w:t>
      </w:r>
      <w:r>
        <w:rPr>
          <w:rFonts w:cs="Arial Narrow" w:ascii="Arial Narrow" w:hAnsi="Arial Narrow"/>
          <w:sz w:val="18"/>
          <w:u w:val="single"/>
        </w:rPr>
        <w:t>Exposure Amount</w:t>
      </w:r>
      <w:r>
        <w:rPr>
          <w:rFonts w:cs="Arial Narrow" w:ascii="Arial Narrow" w:hAnsi="Arial Narrow"/>
          <w:sz w:val="18"/>
        </w:rPr>
        <w:t>" for each party shall be calculated for the total of all outstanding Transactions by calculating each party's Exposure to the other party in respect of each Transaction and totaling the Exposures for each such party.  The party having the greater Exposure Amount at any time shall be deemed to have a "</w:t>
      </w:r>
      <w:r>
        <w:rPr>
          <w:rFonts w:cs="Arial Narrow" w:ascii="Arial Narrow" w:hAnsi="Arial Narrow"/>
          <w:sz w:val="18"/>
          <w:u w:val="single"/>
        </w:rPr>
        <w:t>Net Exposure</w:t>
      </w:r>
      <w:r>
        <w:rPr>
          <w:rFonts w:cs="Arial Narrow" w:ascii="Arial Narrow" w:hAnsi="Arial Narrow"/>
          <w:sz w:val="18"/>
        </w:rPr>
        <w:t>" to the other party equal to the difference between its Exposure Amount and the other party's Exposure Amount.  The "</w:t>
      </w:r>
      <w:r>
        <w:rPr>
          <w:rFonts w:cs="Arial Narrow" w:ascii="Arial Narrow" w:hAnsi="Arial Narrow"/>
          <w:sz w:val="18"/>
          <w:u w:val="single"/>
        </w:rPr>
        <w:t>Collateral Requirement</w:t>
      </w:r>
      <w:r>
        <w:rPr>
          <w:rFonts w:cs="Arial Narrow" w:ascii="Arial Narrow" w:hAnsi="Arial Narrow"/>
          <w:sz w:val="18"/>
        </w:rPr>
        <w:t>" for Counterparty shall mean the excess, if any, of (a) the sum of the following:  (i) ECC's Net Exposure plus (ii) the aggregate of all Independent Amounts applicable to Counterparty, minus (b) the sum of the following:  (i) the Counterparty's Exposure Threshold plus (ii) the Value of each Letter of Credit maintained by Counterparty for the benefit of ECC and any cash proceeds thereof held by ECC.</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3. </w:t>
      </w:r>
      <w:r>
        <w:rPr>
          <w:rFonts w:cs="Arial Narrow" w:ascii="Arial Narrow" w:hAnsi="Arial Narrow"/>
          <w:b/>
          <w:bCs/>
          <w:sz w:val="18"/>
          <w:u w:val="single"/>
        </w:rPr>
        <w:t>Performance Assurance</w:t>
      </w:r>
      <w:r>
        <w:rPr>
          <w:rFonts w:cs="Arial Narrow" w:ascii="Arial Narrow" w:hAnsi="Arial Narrow"/>
          <w:sz w:val="18"/>
        </w:rPr>
        <w:t xml:space="preserve">. </w:t>
      </w:r>
      <w:r>
        <w:rPr>
          <w:rFonts w:cs="Arial Narrow" w:ascii="Arial Narrow" w:hAnsi="Arial Narrow"/>
          <w:sz w:val="18"/>
          <w:u w:val="single"/>
        </w:rPr>
        <w:t>Establishment</w:t>
      </w:r>
      <w:r>
        <w:rPr>
          <w:rFonts w:cs="Arial Narrow" w:ascii="Arial Narrow" w:hAnsi="Arial Narrow"/>
          <w:sz w:val="18"/>
        </w:rPr>
        <w:t>. On any Business Day, ECC may demand in writing that Counterparty (a) establish and maintain (subject to increase or reduction of Performance Assurance as provided herein) Performance Assurance for the benefit of ECC equal to Counterparty's Collateral Requirement, rounded up to the next higher integral multiple of $______________, or (b) increase the principal amount of any outstanding Letter of Credit so that after such increase Counterparty's Collateral Requirement has been fully satisfied.  Within three Business Days after receipt of such demand, Counterparty, at its sole cost and expense, shall either establish a Letter of Credit or increase any outstanding Letter of Credit.  Any Letter of Credit shall be delivered to the address specified by ECC.  Counterparty shall increase the amount of the Letter of Credit or establish additional Letters of Credit if its Collateral Requirement increases and ECC demands such increased or additional Letter of Credit, all in the manner provided above.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Reduction</w:t>
      </w:r>
      <w:r>
        <w:rPr>
          <w:rFonts w:cs="Arial Narrow" w:ascii="Arial Narrow" w:hAnsi="Arial Narrow"/>
          <w:sz w:val="18"/>
        </w:rPr>
        <w:t>. On any Business Day (but no more frequently than weekly with respect to Letters of Credit), Counterparty may request a reduction in the amount of Performance Assurance previously provided by Counterparty for the benefit of ECC; provided, after the requested reduction in Performance Assurance (a) Counterparty shall then have a Collateral Requirement of zero, (b) if at such time there are outstanding Transactions between the parties or unsatisfied obligations from Counterparty to ECC exist with respect to any Transactions, ECC shall then have and retain any Independent Amounts, (c) no Event of Default or Potential Event of Default with respect to Counterparty shall have occurred and be continuing, and (d) no Early Termination Date or Accelerated Termination Date for which any unsatisfied payment obligations of Counterparty exist has occurred or been designated as a result of an Event of Default or an Event of Change with respect to Counterparty.  A permitted reduction in Performance Assurance shall be effected by the reduction of the amount of an outstanding Letter of Credit previously issued for the benefit of ECC.  In all cases the cost and expense of reducing Performance Assurance, including, without limitation, the reasonable costs, expenses, and attorneys' fees of ECC, shall be borne by Counterparty.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4. </w:t>
      </w:r>
      <w:r>
        <w:rPr>
          <w:rFonts w:cs="Arial Narrow" w:ascii="Arial Narrow" w:hAnsi="Arial Narrow"/>
          <w:b/>
          <w:bCs/>
          <w:sz w:val="18"/>
          <w:u w:val="single"/>
        </w:rPr>
        <w:t>Exposure Disputes</w:t>
      </w:r>
      <w:r>
        <w:rPr>
          <w:rFonts w:cs="Arial Narrow" w:ascii="Arial Narrow" w:hAnsi="Arial Narrow"/>
          <w:sz w:val="18"/>
        </w:rPr>
        <w:t>. If Counterparty shall dispute the amount of Performance Assurance requested by ECC and such dispute relates to the amount of the Net Exposure claimed by ECC and not to the valuation of any Performance Assurance previously provided for the benefit of, or requested by, ECC, then Counterparty shall (a) notify ECC of the existence and nature of the dispute not later than the close of business on the first Business Day following the date that the demand is made by ECC, and (b) provide Performance Assurance to or for the benefit of ECC in an amount equal to Counterparty's own good faith estimate, made in a commercially reasonable manner, of Counterparty's Collateral Requirement in accordance with Section 2.  If ECC shall dispute the amount of Performance Assurance to be reduced by ECC and such dispute relates to the amount of the Net Exposure claimed by ECC and not to the valuation of any Performance Assurance previously provided for the benefit of ECC, then ECC shall (a) notify Counterparty of the existence and nature of the dispute not later than the close of business on the first Business Day following the date that the demand is made by Counterparty, and (b) effect the reduction of Performance Assurance in an amount equal ECC's own good faith estimate, made in a commercially reasonable manner, of Counterparty's Collateral Requirement not later than the close of business on the second Business Day following the date that the demand is made by Counterparty.  In all cases, the parties thereafter shall promptly consult together in order to reconcile the dispute.  If the parties have not been able to resolve the dispute on or before the third Business Day following the date the demand is made, then ECC shall recalculate its Net Exposure by requesting quotations from Reference Market-Makers (taking the arithmetic average of those obtained to obtain the average Current Value) for the purpose of recalculating the Current Value of each Transaction in respect of which the parties disagree as to the Current Value thereof, and ECC shall inform the other party of the results of such recalculation.  Performance Assurance shall thereupon be provided or reduced in accordance with the results of such recalculation.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bCs/>
          <w:sz w:val="18"/>
          <w:u w:val="single"/>
        </w:rPr>
        <w:t>Letters of Credit</w:t>
      </w:r>
      <w:r>
        <w:rPr>
          <w:rFonts w:cs="Arial Narrow" w:ascii="Arial Narrow" w:hAnsi="Arial Narrow"/>
          <w:sz w:val="18"/>
        </w:rPr>
        <w:t>. Performance Assurance provided in the form of a Letter of Credit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Issuance</w:t>
      </w:r>
      <w:r>
        <w:rPr>
          <w:rFonts w:cs="Arial Narrow" w:ascii="Arial Narrow" w:hAnsi="Arial Narrow"/>
          <w:sz w:val="18"/>
        </w:rPr>
        <w:t>. Each Letter of Credit shall be provided in accordance with Section 3 and shall be maintained for the benefit of ECC.  Counterparty may increase the amount of an outstanding Letter of Credit or establish one or more additional Letters of Credit.  Counterparty shall (a) cause the renewal of each outstanding Letter of Credit on a timely basis as therein provided, (b) if the issuer of an outstanding Letter of Credit has indicated its intent not to renew such Letter of Credit, provide a substitute Letter of Credit at least 20 Business Days prior to the expiration of the outstanding Letter of Credit, and (c) if the issuer of an outstanding Letter of Credit shall fail to honor ECC's properly documented request to draw on such Letter of Credit, provide a substitute Letter of Credit issued by a bank acceptable to ECC within two Business Days after such refusal; provided, as a result of Counterparty's failure to perform in accordance with (a), (b), or (c), Counterparty's Collateral Requirement would be greater than zero.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bCs/>
          <w:sz w:val="18"/>
        </w:rPr>
      </w:pPr>
      <w:r>
        <w:rPr>
          <w:rFonts w:cs="Arial Narrow" w:ascii="Arial Narrow" w:hAnsi="Arial Narrow"/>
          <w:sz w:val="18"/>
          <w:u w:val="single"/>
        </w:rPr>
        <w:t>Draws</w:t>
      </w:r>
      <w:r>
        <w:rPr>
          <w:rFonts w:cs="Arial Narrow" w:ascii="Arial Narrow" w:hAnsi="Arial Narrow"/>
          <w:sz w:val="18"/>
        </w:rPr>
        <w:t>. Upon or at any time after the occurrence of an Accelerated Termination Date as a result of an Event of Change and the failure of Counterparty to make all payments due and owing to ECC in accordance with the terms of the Agreement, including any related grace or notice period or both, ECC may draw on any outstanding Letter of Credit in an amount equal to the amounts owing to it.  A Letter of Credit shall provide that a drawing may be made on the Letter of Credit upon submission to the issuer of one or more certificates specifying the amounts due and owing to ECC in accordance with the specific requirements of the Letter of Credit.  Upon or at any time after the occurrence of an Event of Default with respect to Counterparty, ECC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in excess of any such proceeds applied to past due amounts owed by Counterparty shall be deemed Performance Assurance as security for Counterparty's obligations to ECC and ECC shall have the rights and remedies set forth herein with respect to such cash proceeds.  ECC shall have the right to use, invest, and commingle any such excess cash proceeds; provided, ECC will exercise reasonable care to assure the safe custody of same by exercising the same degree of care as it would exercise with respect to its own property.  Notwithstanding ECC's draw under any Letter of Credit, Counterparty shall remain liable (a) for any failure to Transfer sufficient Performance Assurance or (b) for any amounts owing to ECC and remaining unpaid after the application of the amounts so drawn by ECC.</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pPr>
      <w:r>
        <w:rPr>
          <w:rFonts w:cs="Arial Narrow" w:ascii="Arial Narrow" w:hAnsi="Arial Narrow"/>
          <w:sz w:val="18"/>
          <w:u w:val="single"/>
        </w:rPr>
        <w:t>Substitute</w:t>
      </w:r>
      <w:r>
        <w:rPr>
          <w:rFonts w:cs="Arial Narrow" w:ascii="Arial Narrow" w:hAnsi="Arial Narrow"/>
          <w:sz w:val="18"/>
        </w:rPr>
        <w:t>. Counterparty may substitute a Letter of Credit for one or more other outstanding Letters of Credit issued for the benefit of ECC; provided, the Value of such substitute Letter of Credit shall be at least equal to the Value of the Letters of Credit being replaced (determined in good faith and in a commercially reasonable manner by ECC); and provided further, no Letter of Credit shall be canceled unless and until the Letter of Credit to be substituted therefor shall have been validly executed and issued for the benefit of ECC in accordance with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Letter of Credit Default</w:t>
      </w:r>
      <w:r>
        <w:rPr>
          <w:rFonts w:cs="Arial Narrow" w:ascii="Arial Narrow" w:hAnsi="Arial Narrow"/>
          <w:sz w:val="18"/>
        </w:rPr>
        <w:t>. Upon the occurrence of a Letter of Credit Default, Counterparty agrees to deliver to ECC a substitute Letter of Credit on or before the second Business Day after the occurrence thereof (or the fifth Business Day after the occurrence thereof if only clause (i) under the definition of Letter of Credit Default applies).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Costs</w:t>
      </w:r>
      <w:r>
        <w:rPr>
          <w:rFonts w:cs="Arial Narrow" w:ascii="Arial Narrow" w:hAnsi="Arial Narrow"/>
          <w:sz w:val="18"/>
        </w:rPr>
        <w:t>. In all cases the costs and expenses (including, without limitation, reasonable costs, expenses, and attorneys' fees of ECC) of establishing, renewing, substituting, canceling, and increasing the amount of a Letter of Credit shall be borne by Counterparty.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6. </w:t>
      </w:r>
      <w:r>
        <w:rPr>
          <w:rFonts w:cs="Arial Narrow" w:ascii="Arial Narrow" w:hAnsi="Arial Narrow"/>
          <w:b/>
          <w:bCs/>
          <w:sz w:val="18"/>
          <w:u w:val="single"/>
        </w:rPr>
        <w:t>Representations</w:t>
      </w:r>
      <w:r>
        <w:rPr>
          <w:rFonts w:cs="Arial Narrow" w:ascii="Arial Narrow" w:hAnsi="Arial Narrow"/>
          <w:sz w:val="18"/>
        </w:rPr>
        <w:t xml:space="preserve">. Counterparty continuously represents and warrants to the other party that: (a) it has the power and authority under the law of the jurisdiction of its organization or incorporation and under its organizational and constituent documents to grant to ECC a valid, enforceable, first-priority security interest in, and lien on, all Performance Assurance (other than Letters of Credit, but including cash proceeds thereof) that it provides and Counterparty has taken all necessary actions to authorize the granting of that security interest and lien; (b) as of each date on which it delivers Performance Assurance to ECC or to any agent of ECC for the benefit of ECC (or, in the case of after-acquired Performance Assurance, at the time ECC or its agent acquires rights therein), it will have title to and will be the sole owner of such Performance Assurance, free and clear of any security interest, lien, pledge, charge, encumbrance, or other interests or restrictions other than the security interest granted to ECC hereby; (c) ECC will have a valid and perfected first-priority security interest in, and lien on, all Performance Assurance (other than Letters of Credit, but including cash proceeds thereof) upon receipt thereof; (d) the performance by it of its obligations under this </w:t>
      </w:r>
      <w:r>
        <w:rPr>
          <w:rFonts w:cs="Arial Narrow" w:ascii="Arial Narrow" w:hAnsi="Arial Narrow"/>
          <w:sz w:val="18"/>
          <w:u w:val="single"/>
        </w:rPr>
        <w:t>Annex A</w:t>
      </w:r>
      <w:r>
        <w:rPr>
          <w:rFonts w:cs="Arial Narrow" w:ascii="Arial Narrow" w:hAnsi="Arial Narrow"/>
          <w:sz w:val="18"/>
        </w:rPr>
        <w:t xml:space="preserve"> will not result in the creation of any security interest, lien or other encumbrance on any Performance Assurance other than the security interest and lien granted pursuant to this </w:t>
      </w:r>
      <w:r>
        <w:rPr>
          <w:rFonts w:cs="Arial Narrow" w:ascii="Arial Narrow" w:hAnsi="Arial Narrow"/>
          <w:sz w:val="18"/>
          <w:u w:val="single"/>
        </w:rPr>
        <w:t>Annex A</w:t>
      </w:r>
      <w:r>
        <w:rPr>
          <w:rFonts w:cs="Arial Narrow" w:ascii="Arial Narrow" w:hAnsi="Arial Narrow"/>
          <w:sz w:val="18"/>
        </w:rPr>
        <w:t>; and (e) on each occasion that it causes the issuance, renewal, substitution, or increase of a Letter of Credit, such Letter of Credit will be the legal, valid, and binding obligation of the issuer thereof, enforceable in accordance with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7. </w:t>
      </w:r>
      <w:r>
        <w:rPr>
          <w:rFonts w:cs="Arial Narrow" w:ascii="Arial Narrow" w:hAnsi="Arial Narrow"/>
          <w:b/>
          <w:bCs/>
          <w:sz w:val="18"/>
          <w:u w:val="single"/>
        </w:rPr>
        <w:t>ECC's Rights and Remedies</w:t>
      </w:r>
      <w:r>
        <w:rPr>
          <w:rFonts w:cs="Arial Narrow" w:ascii="Arial Narrow" w:hAnsi="Arial Narrow"/>
          <w:sz w:val="18"/>
        </w:rPr>
        <w:t xml:space="preserve">. If at any time (a) an Event of Default or Event of Change with respect to Counterparty has occurred and is continuing or (b) an Early Termination Date or Accelerated Termination Date has occurred or been designated as a result of an Event of Default or an Event of Change with respect to Counterparty, then ECC may do any one or more of the following: (i) exercise any of the rights and remedies of a secured party with respect to the Performance Assurance, including any such rights and remedies under law then in effect; (ii) exercise its rights of setoff against any and all property of Counterparty in the possession of ECC or its agent; and (iii) draw on any outstanding Letter of Credit issued for its benefit in accordance herewith.  ECC shall either (a) apply the proceeds of the Performance Assurance realized upon the exercise of any such rights or remedies to reduce Counterparty's obligations under the Agreement or this </w:t>
      </w:r>
      <w:r>
        <w:rPr>
          <w:rFonts w:cs="Arial Narrow" w:ascii="Arial Narrow" w:hAnsi="Arial Narrow"/>
          <w:sz w:val="18"/>
          <w:u w:val="single"/>
        </w:rPr>
        <w:t>Annex A</w:t>
      </w:r>
      <w:r>
        <w:rPr>
          <w:rFonts w:cs="Arial Narrow" w:ascii="Arial Narrow" w:hAnsi="Arial Narrow"/>
          <w:sz w:val="18"/>
        </w:rPr>
        <w:t xml:space="preserve"> (Counterparty remaining liable for any amounts owing to ECC after such application), subject to ECC's obligation to return any surplus proceeds remaining after such obligations are satisfied in full, or (b) hold such proceeds as collateral security for Counterparty's obligations under the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8. </w:t>
      </w:r>
      <w:r>
        <w:rPr>
          <w:rFonts w:cs="Arial Narrow" w:ascii="Arial Narrow" w:hAnsi="Arial Narrow"/>
          <w:b/>
          <w:bCs/>
          <w:sz w:val="18"/>
          <w:u w:val="single"/>
        </w:rPr>
        <w:t>Counterparty's Rights and Remedies</w:t>
      </w:r>
      <w:r>
        <w:rPr>
          <w:rFonts w:cs="Arial Narrow" w:ascii="Arial Narrow" w:hAnsi="Arial Narrow"/>
          <w:sz w:val="18"/>
        </w:rPr>
        <w:t>. If at any time an Early Termination Date or Accelerated Termination Date has occurred or been designated as the result of an Event of Default or Event of Change with respect to ECC, then, unless the Accelerated Termination Date relates to less than all Transactions where ECC has made all payments due and owing to Counterparty, (a) ECC will be obligated immediately to Transfer all Performance Assurance (other than Letters of Credit) to Counterparty, and (b) Counterparty may do any one or more of the following: (i) exercise any of the rights and remedies of a pledgor with respect to the Performance Assurance (other than Letters of Credit), including any such rights and remedies under law then in effect; (ii) to the extent that the Performance Assurance (other than Letters of Credit) is not Transferred to Counterparty as required in (a) above, setoff amounts payable to ECC against the Performance Assurance (other than Letters of Credit) held by ECC or to the extent its rights to setoff are not exercised, withhold payment of any remaining amounts payable by Counterparty, up to the value of any remaining Performance Assurance (other than Letters of Credit) held by ECC, until the Performance Assurance (other than Letters of Credit) is Transferred to Counterparty; and (iii) exercise rights and remedies available to Counterparty under the terms of any Letter of Credit.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9. </w:t>
      </w:r>
      <w:r>
        <w:rPr>
          <w:rFonts w:cs="Arial Narrow" w:ascii="Arial Narrow" w:hAnsi="Arial Narrow"/>
          <w:b/>
          <w:bCs/>
          <w:sz w:val="18"/>
          <w:u w:val="single"/>
        </w:rPr>
        <w:t>Security Interest</w:t>
      </w:r>
      <w:r>
        <w:rPr>
          <w:rFonts w:cs="Arial Narrow" w:ascii="Arial Narrow" w:hAnsi="Arial Narrow"/>
          <w:sz w:val="18"/>
        </w:rPr>
        <w:t>. To secure its obligations under the Agreement, Counterparty hereby grants to ECC a present and continuing first-priority security interest in, lien on, and right of setoff against, all Performance Assurance (other than Letters of Credit, but including cash proceeds thereof) whether now or hereafter held by, on behalf of, or for the benefit of, ECC, and Counterparty agrees to take such action ECC reasonably requires in order to perfect ECC's first-priority continuing security interest in, lien on, and right of setoff against, such Performance Assurance.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10. </w:t>
      </w:r>
      <w:r>
        <w:rPr>
          <w:rFonts w:cs="Arial Narrow" w:ascii="Arial Narrow" w:hAnsi="Arial Narrow"/>
          <w:b/>
          <w:bCs/>
          <w:sz w:val="18"/>
          <w:u w:val="single"/>
        </w:rPr>
        <w:t>Expenses</w:t>
      </w:r>
      <w:r>
        <w:rPr>
          <w:rFonts w:cs="Arial Narrow" w:ascii="Arial Narrow" w:hAnsi="Arial Narrow"/>
          <w:sz w:val="18"/>
        </w:rPr>
        <w:t xml:space="preserve">. Except as expressly set forth in the Agreement, each party will pay its own costs and expenses in connection with performing its obligations under this </w:t>
      </w:r>
      <w:r>
        <w:rPr>
          <w:rFonts w:cs="Arial Narrow" w:ascii="Arial Narrow" w:hAnsi="Arial Narrow"/>
          <w:sz w:val="18"/>
          <w:u w:val="single"/>
        </w:rPr>
        <w:t>Annex A</w:t>
      </w:r>
      <w:r>
        <w:rPr>
          <w:rFonts w:cs="Arial Narrow" w:ascii="Arial Narrow" w:hAnsi="Arial Narrow"/>
          <w:sz w:val="18"/>
        </w:rPr>
        <w:t xml:space="preserve"> and neither party will be liable for any costs or expenses incurred by the other party in connection herewith.  Counterparty will promptly pay when due all taxes, assessments, or charges of any nature that are imposed with respect to Performance Assurance held by ECC upon becoming aware of same.  All reasonable costs and expenses incurred by or on behalf of ECC or Counterparty in connection with the liquidation or application of any Performance Assurance hereunder will be payable on demand by the Defaulting Party or, if there is no Defaulting Party, equally by the parties.</w:t>
      </w:r>
    </w:p>
    <w:p>
      <w:pPr>
        <w:sectPr>
          <w:headerReference w:type="default" r:id="rId13"/>
          <w:headerReference w:type="first" r:id="rId14"/>
          <w:footerReference w:type="default" r:id="rId15"/>
          <w:footerReference w:type="first" r:id="rId16"/>
          <w:type w:val="nextPage"/>
          <w:pgSz w:w="12240" w:h="15840"/>
          <w:pgMar w:left="1008" w:right="1008" w:gutter="0" w:header="720" w:top="1008" w:footer="720" w:bottom="1008"/>
          <w:pgNumType w:start="1" w:fmt="decimal"/>
          <w:cols w:num="2" w:space="708" w:equalWidth="true" w:sep="false"/>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bCs/>
          <w:sz w:val="18"/>
        </w:rPr>
      </w:pPr>
      <w:r>
        <w:rPr>
          <w:rFonts w:cs="Arial Narrow" w:ascii="Arial Narrow" w:hAnsi="Arial Narrow"/>
          <w:b/>
          <w:bCs/>
          <w:sz w:val="18"/>
        </w:rPr>
        <w:t>SCHEDULE 1</w:t>
      </w:r>
    </w:p>
    <w:p>
      <w:pPr>
        <w:pStyle w:val="Normal"/>
        <w:jc w:val="center"/>
        <w:rPr>
          <w:rFonts w:ascii="Arial Narrow" w:hAnsi="Arial Narrow" w:cs="Arial Narrow"/>
          <w:b/>
          <w:bCs/>
          <w:sz w:val="18"/>
        </w:rPr>
      </w:pPr>
      <w:r>
        <w:rPr>
          <w:rFonts w:cs="Arial Narrow" w:ascii="Arial Narrow" w:hAnsi="Arial Narrow"/>
          <w:b/>
          <w:bCs/>
          <w:sz w:val="18"/>
        </w:rPr>
        <w:t>IRREVOCABLE STANDBY LETTER OF CREDIT FORMAT</w:t>
      </w:r>
    </w:p>
    <w:p>
      <w:pPr>
        <w:pStyle w:val="Normal"/>
        <w:jc w:val="center"/>
        <w:rPr>
          <w:rFonts w:ascii="Arial Narrow" w:hAnsi="Arial Narrow" w:cs="Arial Narrow"/>
          <w:b/>
          <w:bCs/>
          <w:sz w:val="18"/>
        </w:rPr>
      </w:pPr>
      <w:r>
        <w:rPr>
          <w:rFonts w:cs="Arial Narrow" w:ascii="Arial Narrow" w:hAnsi="Arial Narrow"/>
          <w:b/>
          <w:bCs/>
          <w:sz w:val="18"/>
        </w:rPr>
        <w:t>DATE OF ISSUANCE:</w:t>
      </w:r>
    </w:p>
    <w:p>
      <w:pPr>
        <w:pStyle w:val="Normal"/>
        <w:jc w:val="both"/>
        <w:rPr>
          <w:rFonts w:ascii="Arial Narrow" w:hAnsi="Arial Narrow" w:cs="Arial Narrow"/>
          <w:sz w:val="18"/>
        </w:rPr>
      </w:pPr>
      <w:r>
        <w:rPr>
          <w:rFonts w:cs="Arial Narrow" w:ascii="Arial Narrow" w:hAnsi="Arial Narrow"/>
          <w:sz w:val="18"/>
        </w:rPr>
        <w:t>[Address]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Re:  Credit No. 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[Canadian]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"An Accelerated Termination Date (as defined in the Master Agreement dated as of ________ between beneficiary and Account Party, as the same may have been amended (the "Master Agreement")) has occurred as a result of an Event of Change (as defined in the Master Agreement) and Account Party has failed to make all payments due and owing to beneficiary in accordance with the terms of the Master Agreement in an aggregate amount of _____________ [United States] [Canadian] Dollars ($ _____________).  Wherefore, the undersigned does hereby demand payment of _____________ [United States] [Canadian] Dollars ($ 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jc w:val="both"/>
        <w:rPr>
          <w:rFonts w:ascii="Arial Narrow" w:hAnsi="Arial Narrow" w:cs="Arial Narrow"/>
          <w:sz w:val="18"/>
        </w:rPr>
      </w:pPr>
      <w:r>
        <w:rPr>
          <w:rFonts w:cs="Arial Narrow" w:ascii="Arial Narrow" w:hAnsi="Arial Narrow"/>
          <w:sz w:val="18"/>
        </w:rPr>
        <w:tab/>
      </w:r>
    </w:p>
    <w:p>
      <w:pPr>
        <w:pStyle w:val="Normal"/>
        <w:ind w:firstLine="720" w:end="0"/>
        <w:jc w:val="both"/>
        <w:rPr>
          <w:rFonts w:ascii="Arial Narrow" w:hAnsi="Arial Narrow" w:cs="Arial Narrow"/>
          <w:sz w:val="18"/>
        </w:rPr>
      </w:pPr>
      <w:r>
        <w:rPr>
          <w:rFonts w:cs="Arial Narrow" w:ascii="Arial Narrow" w:hAnsi="Arial Narrow"/>
          <w:sz w:val="18"/>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[BANK SIGNATURE]</w:t>
      </w:r>
    </w:p>
    <w:sectPr>
      <w:headerReference w:type="default" r:id="rId17"/>
      <w:headerReference w:type="first" r:id="rId18"/>
      <w:footerReference w:type="default" r:id="rId19"/>
      <w:footerReference w:type="first" r:id="rId20"/>
      <w:type w:val="nextPage"/>
      <w:pgSz w:w="12240" w:h="15840"/>
      <w:pgMar w:left="1008" w:right="1008" w:gutter="0" w:header="576" w:top="720" w:footer="576"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MS LineDraw">
    <w:altName w:val="Courier New"/>
    <w:charset w:val="0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/mnt/main-storage/datasets/enron-docs/doc/industrial_canada__2_01_-2ea9d438e6fa125fd90585c7872de44b0bdfef38d049f8d845bcd3369eb3acbc.doc</w:t>
    </w:r>
    <w:r>
      <w:rPr>
        <w:sz w:val="16"/>
        <w:rFonts w:cs="Arial Narrow" w:ascii="Arial Narrow" w:hAnsi="Arial Narrow"/>
      </w:rPr>
      <w:fldChar w:fldCharType="end"/>
    </w:r>
  </w:p>
  <w:p>
    <w:pPr>
      <w:pStyle w:val="Normal"/>
      <w:rPr>
        <w:rFonts w:ascii="Arial Narrow" w:hAnsi="Arial Narrow" w:cs="Arial Narrow"/>
        <w:sz w:val="12"/>
      </w:rPr>
    </w:pPr>
    <w:r>
      <w:rPr>
        <w:rFonts w:cs="Arial Narrow" w:ascii="Arial Narrow" w:hAnsi="Arial Narrow"/>
        <w:sz w:val="12"/>
      </w:rPr>
    </w:r>
  </w:p>
  <w:p>
    <w:pPr>
      <w:pStyle w:val="Normal"/>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8</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/mnt/main-storage/datasets/enron-docs/doc/industrial_canada__2_01_-2ea9d438e6fa125fd90585c7872de44b0bdfef38d049f8d845bcd3369eb3acbc.doc</w:t>
    </w:r>
    <w:r>
      <w:rPr>
        <w:sz w:val="16"/>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Narrow" w:hAnsi="Arial Narrow" w:cs="Arial Narrow"/>
        <w:sz w:val="18"/>
      </w:rPr>
    </w:pPr>
    <w:r>
      <w:rPr>
        <w:rFonts w:cs="Arial Narrow" w:ascii="Arial Narrow" w:hAnsi="Arial Narrow"/>
        <w:sz w:val="18"/>
      </w:rPr>
      <w:t>Annex A</w:t>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Narrow" w:hAnsi="Arial Narrow" w:cs="Arial Narrow"/>
        <w:sz w:val="18"/>
      </w:rPr>
    </w:pPr>
    <w:r>
      <w:rPr>
        <w:rFonts w:cs="Arial Narrow" w:ascii="Arial Narrow" w:hAnsi="Arial Narrow"/>
        <w:sz w:val="18"/>
      </w:rPr>
      <w:t>Annex A</w:t>
    </w:r>
  </w:p>
  <w:p>
    <w:pPr>
      <w:pStyle w:val="Footer"/>
      <w:jc w:val="center"/>
      <w:rPr/>
    </w:pPr>
    <w:r>
      <w:rPr>
        <w:rFonts w:cs="Arial Narrow" w:ascii="Arial Narrow" w:hAnsi="Arial Narrow"/>
        <w:sz w:val="18"/>
      </w:rPr>
      <w:t xml:space="preserve">Page </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rPr>
    </w:pPr>
    <w:r>
      <w:rPr>
        <w:rFonts w:cs="Arial Narrow" w:ascii="Arial Narrow" w:hAnsi="Arial Narrow"/>
        <w:b/>
      </w:rPr>
      <w:t>Canada Industrial Master</w:t>
    </w:r>
  </w:p>
  <w:p>
    <w:pPr>
      <w:pStyle w:val="Header"/>
      <w:jc w:val="end"/>
      <w:rPr>
        <w:rFonts w:ascii="Arial Narrow" w:hAnsi="Arial Narrow" w:cs="Arial Narrow"/>
        <w:b/>
      </w:rPr>
    </w:pPr>
    <w:r>
      <w:rPr>
        <w:rFonts w:cs="Arial Narrow" w:ascii="Arial Narrow" w:hAnsi="Arial Narrow"/>
        <w:b/>
      </w:rPr>
      <w:t>02/01</w:t>
    </w:r>
  </w:p>
  <w:p>
    <w:pPr>
      <w:pStyle w:val="Header"/>
      <w:jc w:val="center"/>
      <w:rPr>
        <w:rFonts w:ascii="Arial Narrow" w:hAnsi="Arial Narrow" w:cs="Arial Narrow"/>
        <w:b/>
      </w:rPr>
    </w:pPr>
    <w:r>
      <w:rPr>
        <w:rFonts w:cs="Arial Narrow" w:ascii="Arial Narrow" w:hAnsi="Arial Narrow"/>
        <w:b/>
      </w:rPr>
    </w:r>
  </w:p>
  <w:p>
    <w:pPr>
      <w:pStyle w:val="Header"/>
      <w:jc w:val="center"/>
      <w:rPr>
        <w:rFonts w:ascii="Arial Narrow" w:hAnsi="Arial Narrow" w:cs="Arial Narrow"/>
        <w:b/>
      </w:rPr>
    </w:pPr>
    <w:r>
      <w:rPr>
        <w:rFonts w:cs="Arial Narrow" w:ascii="Arial Narrow" w:hAnsi="Arial Narrow"/>
        <w:b/>
      </w:rPr>
      <w:t>MASTER AGREEMENT</w:t>
    </w:r>
  </w:p>
  <w:p>
    <w:pPr>
      <w:pStyle w:val="Header"/>
      <w:jc w:val="center"/>
      <w:rPr>
        <w:rFonts w:ascii="Arial Narrow" w:hAnsi="Arial Narrow" w:cs="Arial Narrow"/>
        <w:b/>
      </w:rPr>
    </w:pPr>
    <w:r>
      <w:rPr>
        <w:rFonts w:cs="Arial Narrow" w:ascii="Arial Narrow" w:hAnsi="Arial Narrow"/>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rFonts w:ascii="MS LineDraw;Courier New" w:hAnsi="MS LineDraw;Courier New" w:cs="MS LineDraw;Courier New"/>
      </w:rPr>
    </w:pPr>
    <w:r>
      <w:rPr>
        <w:rFonts w:cs="MS LineDraw;Courier New" w:ascii="MS LineDraw;Courier New" w:hAnsi="MS LineDraw;Courier New"/>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rFonts w:ascii="MS LineDraw;Courier New" w:hAnsi="MS LineDraw;Courier New" w:cs="MS LineDraw;Courier New"/>
      </w:rPr>
    </w:pPr>
    <w:r>
      <w:rPr>
        <w:rFonts w:cs="MS LineDraw;Courier New" w:ascii="MS LineDraw;Courier New" w:hAnsi="MS LineDraw;Courier New"/>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rFonts w:ascii="MS LineDraw;Courier New" w:hAnsi="MS LineDraw;Courier New" w:cs="MS LineDraw;Courier New"/>
      </w:rPr>
    </w:pPr>
    <w:r>
      <w:rPr>
        <w:rFonts w:cs="MS LineDraw;Courier New" w:ascii="MS LineDraw;Courier New" w:hAnsi="MS LineDraw;Courier New"/>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Indent"/>
    <w:qFormat/>
    <w:pPr>
      <w:numPr>
        <w:ilvl w:val="2"/>
        <w:numId w:val="1"/>
      </w:numPr>
      <w:ind w:hanging="0" w:start="360" w:end="0"/>
      <w:outlineLvl w:val="2"/>
    </w:pPr>
    <w:rPr>
      <w:b/>
      <w:sz w:val="24"/>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jc w:val="both"/>
    </w:pPr>
    <w:rPr>
      <w:rFonts w:ascii="Arial Narrow" w:hAnsi="Arial Narrow" w:cs="Arial Narrow"/>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360" w:start="0" w:end="0"/>
      <w:jc w:val="both"/>
    </w:pPr>
    <w:rPr>
      <w:rFonts w:ascii="Arial Narrow" w:hAnsi="Arial Narrow" w:cs="Arial Narrow"/>
      <w:sz w:val="18"/>
    </w:rPr>
  </w:style>
  <w:style w:type="paragraph" w:styleId="BodyTextIndent3">
    <w:name w:val="Body Text Indent 3"/>
    <w:basedOn w:val="Normal"/>
    <w:qFormat/>
    <w:pPr>
      <w:spacing w:before="240" w:after="0"/>
      <w:ind w:firstLine="180" w:start="0" w:end="0"/>
      <w:jc w:val="both"/>
    </w:pPr>
    <w:rPr>
      <w:rFonts w:ascii="Arial Narrow" w:hAnsi="Arial Narrow" w:cs="Arial Narrow"/>
      <w:sz w:val="18"/>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NormalIndent">
    <w:name w:val="Normal Indent"/>
    <w:basedOn w:val="Normal"/>
    <w:qFormat/>
    <w:pPr>
      <w:ind w:hanging="0" w:start="720"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Justified">
    <w:name w:val="Justified"/>
    <w:basedOn w:val="Normal"/>
    <w:next w:val="Heading2"/>
    <w:qFormat/>
    <w:pPr>
      <w:spacing w:before="0" w:after="120"/>
      <w:jc w:val="both"/>
    </w:pPr>
    <w:rPr>
      <w:rFonts w:ascii="Arial" w:hAnsi="Arial" w:cs="Arial"/>
      <w:sz w:val="22"/>
    </w:rPr>
  </w:style>
  <w:style w:type="paragraph" w:styleId="Expanded">
    <w:name w:val="Expanded"/>
    <w:basedOn w:val="Normal"/>
    <w:next w:val="Normal"/>
    <w:qFormat/>
    <w:pPr>
      <w:spacing w:before="0" w:after="240"/>
      <w:jc w:val="center"/>
    </w:pPr>
    <w:rPr>
      <w:b/>
      <w:caps/>
      <w:spacing w:val="60"/>
      <w:sz w:val="22"/>
    </w:rPr>
  </w:style>
  <w:style w:type="paragraph" w:styleId="BodyText2">
    <w:name w:val="Body Text 2"/>
    <w:basedOn w:val="Normal"/>
    <w:qFormat/>
    <w:pPr>
      <w:jc w:val="both"/>
    </w:pPr>
    <w:rPr>
      <w:sz w:val="22"/>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footer" Target="footer9.xml"/><Relationship Id="rId20" Type="http://schemas.openxmlformats.org/officeDocument/2006/relationships/footer" Target="footer10.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2001-02-16T15:35:00Z</dcterms:created>
  <dc:creator>mheard</dc:creator>
  <dc:description/>
  <dc:language>en-CA</dc:language>
  <cp:lastModifiedBy>mcook</cp:lastModifiedBy>
  <cp:lastPrinted>2001-03-05T11:26:00Z</cp:lastPrinted>
  <dcterms:modified xsi:type="dcterms:W3CDTF">2001-03-05T20:06:00Z</dcterms:modified>
  <cp:revision>77</cp:revision>
  <dc:subject/>
  <dc:title>This Master Agreement is entered into as of _____________, 199_ (this "Master Agreement") between _________________, a __________ corporation ("Counterparty") and ENRON NORTH AMERICA CORP</dc:title>
</cp:coreProperties>
</file>