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WW-BodyText2"/>
        <w:rPr/>
      </w:pPr>
      <w:r>
        <w:rPr/>
        <w:t>Legislative Draft of Public Utilities Code Section 390 Amendment</w:t>
        <w:br/>
        <w:t>To be Included in A.B. 18-X</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center"/>
        <w:rPr>
          <w:rFonts w:ascii="Arial" w:hAnsi="Arial" w:eastAsia="Arial" w:cs="Arial"/>
          <w:b/>
          <w:bCs/>
          <w:sz w:val="20"/>
          <w:szCs w:val="20"/>
        </w:rPr>
      </w:pPr>
      <w:r>
        <w:rPr>
          <w:rFonts w:eastAsia="Arial" w:cs="Arial" w:ascii="Arial" w:hAnsi="Arial"/>
          <w:b/>
          <w:bCs/>
          <w:sz w:val="20"/>
          <w:szCs w:val="20"/>
        </w:rPr>
        <w:t>February 1, 2001 3:00 p.m. Draft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center"/>
        <w:rPr>
          <w:rFonts w:ascii="Arial" w:hAnsi="Arial" w:eastAsia="Arial" w:cs="Arial"/>
          <w:b/>
          <w:bCs/>
          <w:sz w:val="20"/>
          <w:szCs w:val="20"/>
        </w:rPr>
      </w:pPr>
      <w:r>
        <w:rPr>
          <w:rFonts w:eastAsia="Arial" w:cs="Arial" w:ascii="Arial" w:hAnsi="Arial"/>
          <w:b/>
          <w:bCs/>
          <w:sz w:val="20"/>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rFonts w:ascii="Arial" w:hAnsi="Arial" w:eastAsia="Arial" w:cs="Arial"/>
          <w:sz w:val="20"/>
          <w:szCs w:val="20"/>
        </w:rPr>
      </w:pPr>
      <w:r>
        <w:rPr>
          <w:rFonts w:eastAsia="Arial" w:cs="Arial" w:ascii="Arial" w:hAnsi="Arial"/>
          <w:sz w:val="20"/>
          <w:szCs w:val="20"/>
        </w:rPr>
        <w:t>The People of the State of California do enact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rFonts w:ascii="Arial" w:hAnsi="Arial" w:eastAsia="Arial" w:cs="Arial"/>
          <w:sz w:val="20"/>
          <w:szCs w:val="20"/>
        </w:rPr>
      </w:pPr>
      <w:r>
        <w:rPr>
          <w:rFonts w:eastAsia="Arial" w:cs="Arial" w:ascii="Arial" w:hAnsi="Arial"/>
          <w:sz w:val="20"/>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rFonts w:ascii="Arial" w:hAnsi="Arial" w:eastAsia="Arial" w:cs="Arial"/>
          <w:sz w:val="20"/>
          <w:szCs w:val="20"/>
        </w:rPr>
      </w:pPr>
      <w:r>
        <w:rPr>
          <w:rFonts w:eastAsia="Arial" w:cs="Arial" w:ascii="Arial" w:hAnsi="Arial"/>
          <w:sz w:val="20"/>
          <w:szCs w:val="20"/>
        </w:rPr>
        <w:t>Section 1.</w:t>
        <w:tab/>
        <w:t>Sections 390.1 through 390.6 are added to the Public Utilities Code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rFonts w:ascii="Arial" w:hAnsi="Arial" w:eastAsia="Arial" w:cs="Arial"/>
          <w:sz w:val="20"/>
          <w:szCs w:val="20"/>
        </w:rPr>
      </w:pPr>
      <w:r>
        <w:rPr>
          <w:rFonts w:eastAsia="Arial" w:cs="Arial" w:ascii="Arial" w:hAnsi="Arial"/>
          <w:sz w:val="20"/>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rFonts w:ascii="Arial" w:hAnsi="Arial" w:eastAsia="Arial" w:cs="Arial"/>
          <w:sz w:val="20"/>
          <w:szCs w:val="20"/>
        </w:rPr>
      </w:pPr>
      <w:r>
        <w:rPr>
          <w:rFonts w:eastAsia="Arial" w:cs="Arial" w:ascii="Arial" w:hAnsi="Arial"/>
          <w:sz w:val="20"/>
          <w:szCs w:val="20"/>
        </w:rPr>
        <w:t>390.1</w:t>
        <w:tab/>
        <w:t>General Provisions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rFonts w:ascii="Arial" w:hAnsi="Arial" w:eastAsia="Arial" w:cs="Arial"/>
          <w:sz w:val="20"/>
          <w:szCs w:val="20"/>
        </w:rPr>
      </w:pPr>
      <w:r>
        <w:rPr>
          <w:rFonts w:eastAsia="Arial" w:cs="Arial" w:ascii="Arial" w:hAnsi="Arial"/>
          <w:sz w:val="20"/>
          <w:szCs w:val="20"/>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360" w:start="1440" w:end="0"/>
        <w:rPr>
          <w:rFonts w:ascii="Arial" w:hAnsi="Arial" w:eastAsia="Arial" w:cs="Arial"/>
          <w:sz w:val="20"/>
          <w:szCs w:val="20"/>
        </w:rPr>
      </w:pPr>
      <w:r>
        <w:rPr>
          <w:rFonts w:eastAsia="Arial" w:cs="Arial" w:ascii="Arial" w:hAnsi="Arial"/>
          <w:sz w:val="20"/>
          <w:szCs w:val="20"/>
        </w:rPr>
        <w:t>a.</w:t>
        <w:tab/>
        <w:t>The Legislature finds and declares: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360" w:start="1440" w:end="0"/>
        <w:rPr>
          <w:rFonts w:ascii="Arial" w:hAnsi="Arial" w:eastAsia="Arial" w:cs="Arial"/>
          <w:sz w:val="20"/>
          <w:szCs w:val="20"/>
        </w:rPr>
      </w:pPr>
      <w:r>
        <w:rPr>
          <w:rFonts w:eastAsia="Arial" w:cs="Arial" w:ascii="Arial" w:hAnsi="Arial"/>
          <w:sz w:val="20"/>
          <w:szCs w:val="20"/>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start="1440" w:end="0"/>
        <w:rPr>
          <w:rFonts w:ascii="Arial" w:hAnsi="Arial" w:eastAsia="Arial" w:cs="Arial"/>
          <w:sz w:val="20"/>
          <w:szCs w:val="20"/>
        </w:rPr>
      </w:pPr>
      <w:r>
        <w:rPr>
          <w:rFonts w:eastAsia="Arial" w:cs="Arial" w:ascii="Arial" w:hAnsi="Arial"/>
          <w:sz w:val="20"/>
          <w:szCs w:val="20"/>
        </w:rPr>
        <w:t>i.</w:t>
        <w:tab/>
        <w:t>Section 390(b) of the Public Utilities Code and California Public Utilities Commission (commission) Decision 96-12-028 currently provide that short-run avoided energy costs within the meaning of the Public Utility Regulatory Policies Act of 1978 (16 U.S.C.A. 796 and 824a-3), and the regulations of the Federal Energy Regulatory Commission pursuant thereto (18 C.F.R. Part 292), paid by an electrical corporation to Qualifying Facilities (QFs) are determined monthly based on an average of monthly indices of the price of natural gas at the California border.</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start="1440" w:end="0"/>
        <w:rPr>
          <w:rFonts w:ascii="Arial" w:hAnsi="Arial" w:eastAsia="Arial" w:cs="Arial"/>
          <w:sz w:val="20"/>
          <w:szCs w:val="20"/>
        </w:rPr>
      </w:pPr>
      <w:r>
        <w:rPr>
          <w:rFonts w:eastAsia="Arial" w:cs="Arial" w:ascii="Arial" w:hAnsi="Arial"/>
          <w:sz w:val="20"/>
          <w:szCs w:val="20"/>
        </w:rPr>
        <w:t>ii.</w:t>
        <w:tab/>
        <w:t>The current monthly determination of short-run avoided energy costs produces significant payment volatility and price instability for the electrical corporation and the QFs, respectively.</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start="1440" w:end="0"/>
        <w:rPr>
          <w:rFonts w:ascii="Arial" w:hAnsi="Arial" w:eastAsia="Arial" w:cs="Arial"/>
          <w:sz w:val="20"/>
          <w:szCs w:val="20"/>
        </w:rPr>
      </w:pPr>
      <w:r>
        <w:rPr>
          <w:rFonts w:eastAsia="Arial" w:cs="Arial" w:ascii="Arial" w:hAnsi="Arial"/>
          <w:sz w:val="20"/>
          <w:szCs w:val="20"/>
        </w:rPr>
        <w:t>iii.</w:t>
        <w:tab/>
        <w:t xml:space="preserve"> Restatement of short-run avoided energy costs for non-gas fueled QFs from the current monthly determination into a fixed value for a term of years will benefit customers by reducing payment volatility and increasing price stability for the electrical corporation and the QFs, respectively.</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start="1440" w:end="0"/>
        <w:rPr>
          <w:rFonts w:ascii="Arial" w:hAnsi="Arial" w:eastAsia="Arial" w:cs="Arial"/>
          <w:sz w:val="20"/>
          <w:szCs w:val="20"/>
        </w:rPr>
      </w:pPr>
      <w:r>
        <w:rPr>
          <w:rFonts w:eastAsia="Arial" w:cs="Arial" w:ascii="Arial" w:hAnsi="Arial"/>
          <w:sz w:val="20"/>
          <w:szCs w:val="20"/>
        </w:rPr>
        <w:t>iv.</w:t>
        <w:tab/>
        <w:t xml:space="preserve">Restatement of short-run avoided energy costs for gas-fired QFs from the current reliance on monthly gas indices to the use of longer-term gas prices will benefit customers by reducing payment volatility and increasing price stability for the electrical corporation and the QFs, respectively. </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start="1440" w:end="0"/>
        <w:rPr>
          <w:rFonts w:ascii="Arial" w:hAnsi="Arial" w:eastAsia="Arial" w:cs="Arial"/>
          <w:sz w:val="20"/>
          <w:szCs w:val="20"/>
        </w:rPr>
      </w:pPr>
      <w:r>
        <w:rPr>
          <w:rFonts w:eastAsia="Arial" w:cs="Arial" w:ascii="Arial" w:hAnsi="Arial"/>
          <w:sz w:val="20"/>
          <w:szCs w:val="20"/>
        </w:rPr>
        <w:t>v.</w:t>
        <w:tab/>
        <w:t>It is in the public interest to provide incentives to the biomass-to-energy industry to reduce the cost of biomass fuel and retain the environmental and other benefits provided therefrom insofar as California's biomass-to-energy industry provides clean renewable energy by converting millions of tons of waste wood and related organic materials derived from agricultural, urban and forestry-related sources into electricity every year, but at substantial expense.</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start="1440" w:end="0"/>
        <w:rPr>
          <w:rFonts w:ascii="Arial" w:hAnsi="Arial" w:eastAsia="Arial" w:cs="Arial"/>
          <w:sz w:val="20"/>
          <w:szCs w:val="20"/>
        </w:rPr>
      </w:pPr>
      <w:r>
        <w:rPr>
          <w:rFonts w:eastAsia="Arial" w:cs="Arial" w:ascii="Arial" w:hAnsi="Arial"/>
          <w:sz w:val="20"/>
          <w:szCs w:val="20"/>
        </w:rPr>
        <w:t>vi.</w:t>
        <w:tab/>
        <w:t xml:space="preserve">It is in the public interest to ensure that solar thermal facilities remain viable and continue to provide solar generating capacity insofar as California's solar thermal facilities provide clean renewable energy.   </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start="1440" w:end="0"/>
        <w:rPr>
          <w:rFonts w:ascii="Arial" w:hAnsi="Arial" w:eastAsia="Arial" w:cs="Arial"/>
          <w:sz w:val="20"/>
          <w:szCs w:val="20"/>
        </w:rPr>
      </w:pPr>
      <w:r>
        <w:rPr>
          <w:rFonts w:eastAsia="Arial" w:cs="Arial" w:ascii="Arial" w:hAnsi="Arial"/>
          <w:sz w:val="20"/>
          <w:szCs w:val="20"/>
        </w:rPr>
        <w:t>vii.</w:t>
        <w:tab/>
        <w:t xml:space="preserve">It is in the public interest to ensure that gas-fired QFs remain viable and continue to produce clean, reliable and efficiently produced energy.   </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start="1440" w:end="0"/>
        <w:rPr>
          <w:rFonts w:ascii="Arial" w:hAnsi="Arial" w:eastAsia="Arial" w:cs="Arial"/>
          <w:sz w:val="20"/>
          <w:szCs w:val="20"/>
        </w:rPr>
      </w:pPr>
      <w:r>
        <w:rPr>
          <w:rFonts w:eastAsia="Arial" w:cs="Arial" w:ascii="Arial" w:hAnsi="Arial"/>
          <w:sz w:val="20"/>
          <w:szCs w:val="20"/>
        </w:rPr>
        <w:t>vii.</w:t>
        <w:tab/>
        <w:t>The financial security and creditworthiness of California’s electrical corporations, and assurance of their ability to make timely payments to QFs, is an essential precondition Section 390.1 through 390.6.</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360" w:start="1440" w:end="0"/>
        <w:rPr>
          <w:rFonts w:ascii="Arial" w:hAnsi="Arial" w:eastAsia="Arial" w:cs="Arial"/>
          <w:sz w:val="20"/>
          <w:szCs w:val="20"/>
        </w:rPr>
      </w:pPr>
      <w:r>
        <w:rPr>
          <w:rFonts w:eastAsia="Arial" w:cs="Arial" w:ascii="Arial" w:hAnsi="Arial"/>
          <w:sz w:val="20"/>
          <w:szCs w:val="20"/>
        </w:rPr>
        <w:t>b.</w:t>
        <w:tab/>
        <w:t>“SRAC Methodology” means the short run avoided cost methodology used to determine energy prices paid to QFs as described in Section 390(b) of the Public Utilities Code and as specified for each electrical corporation in commission Decision 96-12-028,  as such methodology existed on January 1, 2001.</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360" w:start="1440" w:end="0"/>
        <w:rPr>
          <w:rFonts w:ascii="Arial" w:hAnsi="Arial" w:eastAsia="Arial" w:cs="Arial"/>
          <w:sz w:val="20"/>
          <w:szCs w:val="20"/>
        </w:rPr>
      </w:pPr>
      <w:r>
        <w:rPr>
          <w:rFonts w:eastAsia="Arial" w:cs="Arial" w:ascii="Arial" w:hAnsi="Arial"/>
          <w:sz w:val="20"/>
          <w:szCs w:val="20"/>
        </w:rPr>
        <w:t>c.</w:t>
        <w:tab/>
        <w:t>“QF” means a qualifying small power production facility or a qualifying cogeneration facility within the meaning of the Public Utility Regulatory Policies Act of 1978 (16 U.S.C.A. 796 and 824a-3), and the regulations of the Federal Energy Regulatory Commission pursuant thereto (18 C.F.R. Part 292).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360" w:start="1440" w:end="0"/>
        <w:rPr>
          <w:rFonts w:ascii="Arial" w:hAnsi="Arial" w:eastAsia="Arial" w:cs="Arial"/>
          <w:sz w:val="20"/>
          <w:szCs w:val="20"/>
        </w:rPr>
      </w:pPr>
      <w:r>
        <w:rPr>
          <w:rFonts w:eastAsia="Arial" w:cs="Arial" w:ascii="Arial" w:hAnsi="Arial"/>
          <w:sz w:val="20"/>
          <w:szCs w:val="20"/>
        </w:rPr>
        <w:t>d.</w:t>
        <w:tab/>
        <w:t>"Non-gas fueled QF" means a qualifying small power production facility or a qualifying cogeneration facility whose primary fuel is other than natural gas.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360" w:start="1440" w:end="0"/>
        <w:rPr>
          <w:rFonts w:ascii="Arial" w:hAnsi="Arial" w:eastAsia="Arial" w:cs="Arial"/>
          <w:sz w:val="20"/>
          <w:szCs w:val="20"/>
        </w:rPr>
      </w:pPr>
      <w:r>
        <w:rPr>
          <w:rFonts w:eastAsia="Arial" w:cs="Arial" w:ascii="Arial" w:hAnsi="Arial"/>
          <w:sz w:val="20"/>
          <w:szCs w:val="20"/>
        </w:rPr>
        <w:t>e.</w:t>
        <w:tab/>
        <w:t>“Gas-fired QF” means a qualifying cogeneration facility whose primary fuel is natural gas.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360" w:start="1440" w:end="0"/>
        <w:rPr>
          <w:rFonts w:ascii="Arial" w:hAnsi="Arial" w:eastAsia="Arial" w:cs="Arial"/>
          <w:sz w:val="20"/>
          <w:szCs w:val="20"/>
        </w:rPr>
      </w:pPr>
      <w:r>
        <w:rPr>
          <w:rFonts w:eastAsia="Arial" w:cs="Arial" w:ascii="Arial" w:hAnsi="Arial"/>
          <w:sz w:val="20"/>
          <w:szCs w:val="20"/>
        </w:rPr>
        <w:t>f.</w:t>
        <w:tab/>
        <w:t>“Power Purchase Agreement” means an agreement entered into pursuant to the Public Utility Regulatory Policies Act of 1978 between an electrical corporation and a QF providing for, among other things, the sale and delivery of electricity from the QF to the electrical corporation.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360" w:start="1440" w:end="0"/>
        <w:rPr>
          <w:rFonts w:ascii="Arial" w:hAnsi="Arial" w:eastAsia="Arial" w:cs="Arial"/>
          <w:sz w:val="20"/>
          <w:szCs w:val="20"/>
        </w:rPr>
      </w:pPr>
      <w:r>
        <w:rPr>
          <w:rFonts w:eastAsia="Arial" w:cs="Arial" w:ascii="Arial" w:hAnsi="Arial"/>
          <w:sz w:val="20"/>
          <w:szCs w:val="20"/>
        </w:rPr>
        <w:t>g.</w:t>
        <w:tab/>
        <w:t>Other than as set forth in Section 390.4, energy payments to non-gas fueled QFs for energy delivered prior to February 1, 2001, shall be made in accordance with the SRAC Methodology and the avoided cost postings of the electrical corporations made in accordance therewith.  For the period beginning on February 1, 2001 and continuing through January 31, 2006, energy payments to non-gas fueled QFs shall be determined and fixed pursuant to the methodology described in Section 390.2, Section 390.3 or Section 390.4, as applicable to the particular non-gas fueled QF.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360" w:start="1440" w:end="0"/>
        <w:rPr>
          <w:rFonts w:ascii="Arial" w:hAnsi="Arial" w:eastAsia="Arial" w:cs="Arial"/>
          <w:sz w:val="20"/>
          <w:szCs w:val="20"/>
        </w:rPr>
      </w:pPr>
      <w:r>
        <w:rPr>
          <w:rFonts w:eastAsia="Arial" w:cs="Arial" w:ascii="Arial" w:hAnsi="Arial"/>
          <w:sz w:val="20"/>
          <w:szCs w:val="20"/>
        </w:rPr>
        <w:t>h.</w:t>
        <w:tab/>
        <w:t>Other than as set forth in Section 390.4, energy payments to each gas-fired QF for energy delivered prior to the date of initial deliveries of gas under the gas purchase arrangement applicable to such QF in accordance with Section 390.6(e), shall be made in accordance with the SRAC Methodology and the avoided cost postings of the electrical corporations made in accordance therewith.  For the period beginning on the date of initial deliveries of gas to each gas-fired QF under the gas purchase arrangement applicable to such QF in accordance with Section 390.6(e) and continuing through the termination of such arrangement, energy payments to each gas-fired QF shall be determined pursuant to the methodology described in Section 390.6, as applicable to the particular gas-fired QF.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360" w:start="1440" w:end="0"/>
        <w:rPr>
          <w:rFonts w:ascii="Arial" w:hAnsi="Arial" w:eastAsia="Arial" w:cs="Arial"/>
          <w:sz w:val="20"/>
          <w:szCs w:val="20"/>
        </w:rPr>
      </w:pPr>
      <w:r>
        <w:rPr>
          <w:rFonts w:eastAsia="Arial" w:cs="Arial" w:ascii="Arial" w:hAnsi="Arial"/>
          <w:sz w:val="20"/>
          <w:szCs w:val="20"/>
        </w:rPr>
        <w:t>i.</w:t>
        <w:tab/>
        <w:t>Payments made by the electrical corporation to a QF pursuant to the SRAC Methodology and any of the methodologies set forth in Sections 390.2, 390.3, 390.4, or 390.6, result in short-run avoided cost energy payments to QFs that shall be deemed reasonable for all purposes, including by the commission for cost recovery purposes.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360" w:start="1440" w:end="0"/>
        <w:rPr>
          <w:rFonts w:ascii="Arial" w:hAnsi="Arial" w:eastAsia="Arial" w:cs="Arial"/>
          <w:sz w:val="20"/>
          <w:szCs w:val="20"/>
        </w:rPr>
      </w:pPr>
      <w:r>
        <w:rPr>
          <w:rFonts w:eastAsia="Arial" w:cs="Arial" w:ascii="Arial" w:hAnsi="Arial"/>
          <w:sz w:val="20"/>
          <w:szCs w:val="20"/>
        </w:rPr>
        <w:t>j.</w:t>
        <w:tab/>
        <w:t>Time-of-delivery and seasonal payment allocation factors in effect on January 1, 2001 shall not be modified, except upon mutual agreement of the parties to a Power Purchase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360" w:start="1440" w:end="0"/>
        <w:rPr>
          <w:rFonts w:ascii="Arial" w:hAnsi="Arial" w:eastAsia="Arial" w:cs="Arial"/>
          <w:sz w:val="20"/>
          <w:szCs w:val="20"/>
        </w:rPr>
      </w:pPr>
      <w:r>
        <w:rPr>
          <w:rFonts w:eastAsia="Arial" w:cs="Arial" w:ascii="Arial" w:hAnsi="Arial"/>
          <w:sz w:val="20"/>
          <w:szCs w:val="20"/>
        </w:rPr>
        <w:t>k.</w:t>
        <w:tab/>
        <w:t xml:space="preserve">Energy line loss factors (at both the transmission and distribution level) shall be set at 1.0, unless a different number is otherwise specifically set forth in a Power Purchase Agreement or unless the parties to a Power Purchase Agreement agree otherwise. </w:t>
      </w:r>
    </w:p>
    <w:p>
      <w:pPr>
        <w:sectPr>
          <w:footerReference w:type="default" r:id="rId2"/>
          <w:type w:val="nextPage"/>
          <w:pgSz w:w="12240" w:h="15840"/>
          <w:pgMar w:left="1800" w:right="1800" w:gutter="0" w:header="0" w:top="1440" w:footer="1440" w:bottom="1496"/>
          <w:pgNumType w:fmt="decimal"/>
          <w:formProt w:val="false"/>
          <w:textDirection w:val="lrTb"/>
        </w:sectPr>
      </w:pP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360" w:start="1440" w:end="0"/>
        <w:rPr>
          <w:rFonts w:ascii="Arial" w:hAnsi="Arial" w:eastAsia="Arial" w:cs="Arial"/>
          <w:sz w:val="20"/>
          <w:szCs w:val="20"/>
        </w:rPr>
      </w:pPr>
      <w:r>
        <w:rPr>
          <w:rFonts w:eastAsia="Arial" w:cs="Arial" w:ascii="Arial" w:hAnsi="Arial"/>
          <w:sz w:val="20"/>
          <w:szCs w:val="20"/>
        </w:rPr>
        <w:t>l.</w:t>
        <w:tab/>
        <w:t>Contract capacity provisions, any non-standard energy pricing provisions and all other terms and conditions in existing Power Purchase Agreements shall remain unchanged except upon mutual agreement of the electrical corporation and the QF.  Nothing contained in this Section is intended to discourage or preclude such further mutual agreements with respect to the Power Purchase Agreements.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360" w:start="1440" w:end="0"/>
        <w:rPr>
          <w:rFonts w:ascii="Arial" w:hAnsi="Arial" w:eastAsia="Arial" w:cs="Arial"/>
          <w:sz w:val="20"/>
          <w:szCs w:val="20"/>
        </w:rPr>
      </w:pPr>
      <w:r>
        <w:rPr>
          <w:rFonts w:eastAsia="Arial" w:cs="Arial" w:ascii="Arial" w:hAnsi="Arial"/>
          <w:sz w:val="20"/>
          <w:szCs w:val="20"/>
        </w:rPr>
        <w:t>m.</w:t>
        <w:tab/>
        <w:t>Notwithstanding anything in this Section to the contrary, with respect to any Interim Standard Offer 4 Power Purchase Agreement that is in its fixed energy price period, the pricing methodology set forth in Sections 390.2, 390.3,390.4 or 390.6, as applicable, shall apply (i) to the portion of the energy payment under such Power Purchase Agreement that is determined in relation to the SRAC Methodology or the methodology otherwise set forth in this Section, as applicable, and (ii) to any energy deliveries that exceed the monthly average of energy deliveries subject to fixed pricing under such Power Purchase Agreement.  Upon the termination of the fixed energy price period under the terms of any such Power Purchase Agreement, the pricing methodology for establishing energy payments set forth in Sections 390.2, 390.3, 390.4 and 390.6, as applicable, shall take effect for all energy deliveries under such Power Purchase Agreement, through the term of such Sections.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360" w:start="1440" w:end="0"/>
        <w:rPr>
          <w:rFonts w:ascii="Arial" w:hAnsi="Arial" w:eastAsia="Arial" w:cs="Arial"/>
          <w:sz w:val="20"/>
          <w:szCs w:val="20"/>
        </w:rPr>
      </w:pPr>
      <w:r>
        <w:rPr>
          <w:rFonts w:eastAsia="Arial" w:cs="Arial" w:ascii="Arial" w:hAnsi="Arial"/>
          <w:sz w:val="20"/>
          <w:szCs w:val="20"/>
        </w:rPr>
        <w:t>n.</w:t>
        <w:tab/>
        <w:t>At the election of any QF that has a Power Purchase Agreement with an electrical corporation, the applicable pricing methodology for establishing energy payments set forth in Sections 390.2, 390.3, 390.4 or 390.6, as applicable to a given QF, will be incorporated into a written amendment to Power Purchase Agreement of such QFs and payments made by the electrical corporation to such QF pursuant to any such amendment shall be deemed reasonable for all purposes, including by the commission for cost recovery purposes.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360" w:start="1440" w:end="0"/>
        <w:rPr>
          <w:rFonts w:ascii="Arial" w:hAnsi="Arial" w:eastAsia="Arial" w:cs="Arial"/>
          <w:sz w:val="20"/>
          <w:szCs w:val="20"/>
        </w:rPr>
      </w:pPr>
      <w:r>
        <w:rPr>
          <w:rFonts w:eastAsia="Arial" w:cs="Arial" w:ascii="Arial" w:hAnsi="Arial"/>
          <w:sz w:val="20"/>
          <w:szCs w:val="20"/>
        </w:rPr>
        <w:t>o.</w:t>
        <w:tab/>
        <w:t>The ability of each QF to exercise the one-time, irrevocable option to elect Power Exchange-based SRAC pricing pursuant to Section 390(c) of the Public Utilities Code is terminated.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rFonts w:eastAsia="Arial" w:cs="Arial" w:ascii="Arial" w:hAnsi="Arial"/>
          <w:sz w:val="20"/>
          <w:szCs w:val="20"/>
        </w:rPr>
        <w:t>390.2</w:t>
        <w:tab/>
      </w:r>
      <w:r>
        <w:rPr>
          <w:rFonts w:eastAsia="Arial" w:cs="Arial" w:ascii="Arial" w:hAnsi="Arial"/>
          <w:sz w:val="20"/>
          <w:szCs w:val="20"/>
          <w:u w:val="single"/>
        </w:rPr>
        <w:t>General Pricing Methodology Applicable to Non Gas-Fueled QFs</w:t>
      </w:r>
    </w:p>
    <w:p>
      <w:pPr>
        <w:sectPr>
          <w:type w:val="continuous"/>
          <w:pgSz w:w="12240" w:h="15840"/>
          <w:pgMar w:left="1800" w:right="1800" w:gutter="0" w:header="0" w:top="1440" w:footer="1440" w:bottom="1496"/>
          <w:formProt w:val="false"/>
          <w:textDirection w:val="lrTb"/>
        </w:sectPr>
      </w:pP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360" w:start="1440" w:end="0"/>
        <w:rPr>
          <w:rFonts w:ascii="Arial" w:hAnsi="Arial" w:eastAsia="Arial" w:cs="Arial"/>
          <w:sz w:val="20"/>
          <w:szCs w:val="20"/>
        </w:rPr>
      </w:pPr>
      <w:r>
        <w:rPr>
          <w:rFonts w:eastAsia="Arial" w:cs="Arial" w:ascii="Arial" w:hAnsi="Arial"/>
          <w:sz w:val="20"/>
          <w:szCs w:val="20"/>
        </w:rPr>
        <w:t>a.</w:t>
        <w:tab/>
        <w:t>Except as specifically provided in Section 390.3 or 390.4, for the period beginning February 1, 2001 and continuing through January 31, 2006, payments for energy deliveries by non gas-fueled QFs shall be established at  5.37 cents per kilowatt hour, as allocated in accordance with Section 390.1(j).</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360" w:start="1440" w:end="0"/>
        <w:rPr>
          <w:rFonts w:ascii="Arial" w:hAnsi="Arial" w:eastAsia="Arial" w:cs="Arial"/>
          <w:sz w:val="20"/>
          <w:szCs w:val="20"/>
        </w:rPr>
      </w:pPr>
      <w:r>
        <w:rPr>
          <w:rFonts w:eastAsia="Arial" w:cs="Arial" w:ascii="Arial" w:hAnsi="Arial"/>
          <w:sz w:val="20"/>
          <w:szCs w:val="20"/>
        </w:rPr>
        <w:t>b.</w:t>
        <w:tab/>
        <w:t xml:space="preserve">After January 31, 2006, the methodology for determining payments for energy deliveries by non gas-fueled QFs shall revert to the SRAC Methodology. </w:t>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720" w:start="720" w:end="0"/>
        <w:rPr/>
      </w:pPr>
      <w:r>
        <w:rPr>
          <w:rFonts w:eastAsia="Arial" w:cs="Arial" w:ascii="Arial" w:hAnsi="Arial"/>
          <w:sz w:val="20"/>
          <w:szCs w:val="20"/>
        </w:rPr>
        <w:t>390.3</w:t>
        <w:tab/>
      </w:r>
      <w:r>
        <w:rPr>
          <w:rFonts w:eastAsia="Arial" w:cs="Arial" w:ascii="Arial" w:hAnsi="Arial"/>
          <w:sz w:val="20"/>
          <w:szCs w:val="20"/>
          <w:u w:val="single"/>
        </w:rPr>
        <w:t>Pricing Methodology for Solar Thermal QFs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360" w:start="1440" w:end="0"/>
        <w:rPr>
          <w:rFonts w:ascii="Arial" w:hAnsi="Arial" w:eastAsia="Arial" w:cs="Arial"/>
          <w:sz w:val="20"/>
          <w:szCs w:val="20"/>
        </w:rPr>
      </w:pPr>
      <w:r>
        <w:rPr>
          <w:rFonts w:eastAsia="Arial" w:cs="Arial" w:ascii="Arial" w:hAnsi="Arial"/>
          <w:sz w:val="20"/>
          <w:szCs w:val="20"/>
        </w:rPr>
        <w:t>a.</w:t>
        <w:tab/>
        <w:t>For the term set forth in Section 390.1(g), payments for energy deliveries by QFs employing solar thermal technology shall be based 75% on the pricing methodology described in Section 390.2(a),and 25% utilizing the energy pricing formula for gas-fired QFs; provided that, until such a formula is adopted, such 25% shall be determined based on the following formula, expressed in cents/kWh, as allocated in accordance with Section 390.1(j): </w:t>
      </w:r>
    </w:p>
    <w:p>
      <w:pPr>
        <w:pStyle w:val="Normal"/>
        <w:widowControl/>
        <w:tabs>
          <w:tab w:val="clear" w:pos="720"/>
          <w:tab w:val="left" w:pos="-1440" w:leader="none"/>
        </w:tabs>
        <w:spacing w:lineRule="auto" w:line="480"/>
        <w:ind w:start="1080" w:end="0"/>
        <w:rPr>
          <w:rFonts w:ascii="Arial" w:hAnsi="Arial" w:eastAsia="Arial" w:cs="Arial"/>
          <w:sz w:val="20"/>
          <w:szCs w:val="20"/>
        </w:rPr>
      </w:pPr>
      <w:r>
        <w:rPr>
          <w:rFonts w:eastAsia="Arial" w:cs="Arial" w:ascii="Arial" w:hAnsi="Arial"/>
          <w:sz w:val="20"/>
          <w:szCs w:val="20"/>
        </w:rPr>
      </w:r>
    </w:p>
    <w:p>
      <w:pPr>
        <w:pStyle w:val="Normal"/>
        <w:widowControl/>
        <w:tabs>
          <w:tab w:val="clear" w:pos="720"/>
          <w:tab w:val="left" w:pos="-1440" w:leader="none"/>
        </w:tabs>
        <w:spacing w:lineRule="auto" w:line="480"/>
        <w:ind w:start="2520" w:end="0"/>
        <w:rPr/>
      </w:pPr>
      <w:r>
        <w:rPr>
          <w:rFonts w:eastAsia="Arial" w:cs="Arial" w:ascii="Arial" w:hAnsi="Arial"/>
          <w:sz w:val="20"/>
          <w:szCs w:val="20"/>
        </w:rPr>
        <w:t>[((9,821 x GP)/10,000) + (0.30 x CPI</w:t>
      </w:r>
      <w:r>
        <w:rPr>
          <w:rFonts w:eastAsia="Arial" w:cs="Arial" w:ascii="Arial" w:hAnsi="Arial"/>
          <w:sz w:val="20"/>
          <w:szCs w:val="20"/>
          <w:vertAlign w:val="subscript"/>
        </w:rPr>
        <w:t>n</w:t>
      </w:r>
      <w:r>
        <w:rPr>
          <w:rFonts w:eastAsia="Arial" w:cs="Arial" w:ascii="Arial" w:hAnsi="Arial"/>
          <w:sz w:val="20"/>
          <w:szCs w:val="20"/>
        </w:rPr>
        <w:t xml:space="preserve"> / CPI</w:t>
      </w:r>
      <w:r>
        <w:rPr>
          <w:rFonts w:eastAsia="Arial" w:cs="Arial" w:ascii="Arial" w:hAnsi="Arial"/>
          <w:sz w:val="20"/>
          <w:szCs w:val="20"/>
          <w:vertAlign w:val="subscript"/>
        </w:rPr>
        <w:t>2000</w:t>
      </w:r>
      <w:r>
        <w:rPr>
          <w:rFonts w:eastAsia="Arial" w:cs="Arial" w:ascii="Arial" w:hAnsi="Arial"/>
          <w:sz w:val="20"/>
          <w:szCs w:val="20"/>
        </w:rPr>
        <w:t xml:space="preserve"> )] </w:t>
        <w:br/>
      </w:r>
    </w:p>
    <w:p>
      <w:pPr>
        <w:pStyle w:val="Normal"/>
        <w:ind w:start="1080" w:end="0"/>
        <w:rPr>
          <w:rFonts w:ascii="Arial" w:hAnsi="Arial" w:eastAsia="Arial" w:cs="Arial"/>
          <w:sz w:val="20"/>
          <w:szCs w:val="20"/>
        </w:rPr>
      </w:pPr>
      <w:r>
        <w:rPr>
          <w:rFonts w:eastAsia="Arial" w:cs="Arial" w:ascii="Arial" w:hAnsi="Arial"/>
          <w:sz w:val="20"/>
          <w:szCs w:val="20"/>
        </w:rPr>
        <w:t xml:space="preserve">Where: </w:t>
        <w:br/>
      </w:r>
    </w:p>
    <w:p>
      <w:pPr>
        <w:pStyle w:val="Normal"/>
        <w:ind w:start="2520" w:end="0"/>
        <w:rPr>
          <w:rFonts w:ascii="Arial" w:hAnsi="Arial" w:eastAsia="Arial" w:cs="Arial"/>
          <w:sz w:val="20"/>
          <w:szCs w:val="20"/>
        </w:rPr>
      </w:pPr>
      <w:r>
        <w:rPr>
          <w:rFonts w:eastAsia="Arial" w:cs="Arial" w:ascii="Arial" w:hAnsi="Arial"/>
          <w:sz w:val="20"/>
          <w:szCs w:val="20"/>
        </w:rPr>
        <w:t>1. GP is, for each gas-fired QF, the burnertip price for gas, in $/MMBtu, delivered to such QF as set forth in Section 390.6(e), plus the cost of any credit support required by such QF’s gas supplier to secure performance by such QF over the term of the gas supply arrangement discussed in Section 390.6(e).</w:t>
        <w:br/>
      </w:r>
    </w:p>
    <w:p>
      <w:pPr>
        <w:pStyle w:val="Normal"/>
        <w:ind w:start="2520" w:end="0"/>
        <w:rPr/>
      </w:pPr>
      <w:r>
        <w:rPr>
          <w:rFonts w:eastAsia="Arial" w:cs="Arial" w:ascii="Arial" w:hAnsi="Arial"/>
          <w:sz w:val="20"/>
          <w:szCs w:val="20"/>
        </w:rPr>
        <w:t>2. CPI</w:t>
      </w:r>
      <w:r>
        <w:rPr>
          <w:rFonts w:eastAsia="Arial" w:cs="Arial" w:ascii="Arial" w:hAnsi="Arial"/>
          <w:sz w:val="20"/>
          <w:szCs w:val="20"/>
          <w:vertAlign w:val="subscript"/>
        </w:rPr>
        <w:t>n</w:t>
      </w:r>
      <w:r>
        <w:rPr>
          <w:rFonts w:eastAsia="Arial" w:cs="Arial" w:ascii="Arial" w:hAnsi="Arial"/>
          <w:sz w:val="20"/>
          <w:szCs w:val="20"/>
        </w:rPr>
        <w:t xml:space="preserve"> is the average California Consumer Price Index for the year in which the payments are being made. </w:t>
      </w:r>
    </w:p>
    <w:p>
      <w:pPr>
        <w:pStyle w:val="Normal"/>
        <w:ind w:start="2520" w:end="0"/>
        <w:rPr>
          <w:rFonts w:ascii="Arial" w:hAnsi="Arial" w:eastAsia="Arial" w:cs="Arial"/>
          <w:sz w:val="20"/>
          <w:szCs w:val="20"/>
        </w:rPr>
      </w:pPr>
      <w:r>
        <w:rPr>
          <w:rFonts w:eastAsia="Arial" w:cs="Arial" w:ascii="Arial" w:hAnsi="Arial"/>
          <w:sz w:val="20"/>
          <w:szCs w:val="20"/>
        </w:rPr>
      </w:r>
    </w:p>
    <w:p>
      <w:pPr>
        <w:pStyle w:val="Normal"/>
        <w:ind w:start="2520" w:end="0"/>
        <w:rPr/>
      </w:pPr>
      <w:r>
        <w:rPr>
          <w:rFonts w:eastAsia="Arial" w:cs="Arial" w:ascii="Arial" w:hAnsi="Arial"/>
          <w:sz w:val="20"/>
          <w:szCs w:val="20"/>
        </w:rPr>
        <w:t>3 CPI</w:t>
      </w:r>
      <w:r>
        <w:rPr>
          <w:rFonts w:eastAsia="Arial" w:cs="Arial" w:ascii="Arial" w:hAnsi="Arial"/>
          <w:sz w:val="20"/>
          <w:szCs w:val="20"/>
          <w:vertAlign w:val="subscript"/>
        </w:rPr>
        <w:t xml:space="preserve">2000 </w:t>
      </w:r>
      <w:r>
        <w:rPr>
          <w:rFonts w:eastAsia="Arial" w:cs="Arial" w:ascii="Arial" w:hAnsi="Arial"/>
          <w:sz w:val="20"/>
          <w:szCs w:val="20"/>
        </w:rPr>
        <w:t>is the average California Consumer Price Index for the year 2000.</w:t>
      </w:r>
    </w:p>
    <w:p>
      <w:pPr>
        <w:pStyle w:val="Normal"/>
        <w:rPr>
          <w:rFonts w:ascii="Arial" w:hAnsi="Arial" w:eastAsia="Arial" w:cs="Arial"/>
          <w:sz w:val="20"/>
          <w:szCs w:val="20"/>
        </w:rPr>
      </w:pPr>
      <w:r>
        <w:rPr>
          <w:rFonts w:eastAsia="Arial" w:cs="Arial" w:ascii="Arial" w:hAnsi="Arial"/>
          <w:sz w:val="20"/>
          <w:szCs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360" w:start="1440" w:end="0"/>
        <w:rPr>
          <w:rFonts w:ascii="Arial" w:hAnsi="Arial" w:eastAsia="Arial" w:cs="Arial"/>
          <w:sz w:val="20"/>
          <w:szCs w:val="20"/>
        </w:rPr>
      </w:pPr>
      <w:r>
        <w:rPr>
          <w:rFonts w:eastAsia="Arial" w:cs="Arial" w:ascii="Arial" w:hAnsi="Arial"/>
          <w:sz w:val="20"/>
          <w:szCs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360" w:start="1440" w:end="0"/>
        <w:rPr>
          <w:rFonts w:ascii="Arial" w:hAnsi="Arial" w:eastAsia="Arial" w:cs="Arial"/>
          <w:sz w:val="20"/>
          <w:szCs w:val="20"/>
        </w:rPr>
      </w:pPr>
      <w:r>
        <w:rPr>
          <w:rFonts w:eastAsia="Arial" w:cs="Arial" w:ascii="Arial" w:hAnsi="Arial"/>
          <w:sz w:val="20"/>
          <w:szCs w:val="20"/>
        </w:rPr>
        <w:t>b.</w:t>
        <w:tab/>
        <w:t>The commission shall not take any action and will cause entities under its jurisdiction not to take any action, which will adversely affect any non-gas fueled QF whose primary energy source is solar energy regarding its use of natural gas.  The commission will take such actions as are necessary to protect the ability of non-gas fueled QFs whose primary energy source is solar energy and which have received final Federal Energy Regulatory Commission certification orders to use natural gas within the limits of such certification orders.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rFonts w:eastAsia="Arial" w:cs="Arial" w:ascii="Arial" w:hAnsi="Arial"/>
          <w:sz w:val="20"/>
          <w:szCs w:val="20"/>
        </w:rPr>
        <w:t>390.4</w:t>
        <w:tab/>
      </w:r>
      <w:r>
        <w:rPr>
          <w:rFonts w:eastAsia="Arial" w:cs="Arial" w:ascii="Arial" w:hAnsi="Arial"/>
          <w:sz w:val="20"/>
          <w:szCs w:val="20"/>
          <w:u w:val="single"/>
        </w:rPr>
        <w:t>Pricing Methodology for QFs That Have Switched to PX-Based Pricing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360" w:start="1440" w:end="0"/>
        <w:rPr>
          <w:rFonts w:ascii="Arial" w:hAnsi="Arial" w:eastAsia="Arial" w:cs="Arial"/>
          <w:sz w:val="20"/>
          <w:szCs w:val="20"/>
        </w:rPr>
      </w:pPr>
      <w:r>
        <w:rPr>
          <w:rFonts w:eastAsia="Arial" w:cs="Arial" w:ascii="Arial" w:hAnsi="Arial"/>
          <w:sz w:val="20"/>
          <w:szCs w:val="20"/>
        </w:rPr>
        <w:t>a.</w:t>
        <w:tab/>
        <w:t>QFs that elected to have energy payments based on the hourly day-ahead constrained market clearing price paid by the independent Power Exchange under Section 390(c), as authorized by the commission in Decision 99-11-025 (such QFs being referred to as “switching QFs“), shall be paid for energy deliveries in January 2001 pursuant to the SRAC Methodology.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360" w:start="1440" w:end="0"/>
        <w:rPr>
          <w:rFonts w:ascii="Arial" w:hAnsi="Arial" w:eastAsia="Arial" w:cs="Arial"/>
          <w:sz w:val="20"/>
          <w:szCs w:val="20"/>
        </w:rPr>
      </w:pPr>
      <w:r>
        <w:rPr>
          <w:rFonts w:eastAsia="Arial" w:cs="Arial" w:ascii="Arial" w:hAnsi="Arial"/>
          <w:sz w:val="20"/>
          <w:szCs w:val="20"/>
        </w:rPr>
        <w:t>b.</w:t>
        <w:tab/>
        <w:t>The “switch date“ for each switching QF shall be the date on which such switching QF began receiving energy payments based on the day-ahead clearing price paid by the independent Power Exchange under Section 390(c).  For each switching QF, the provisions of Section 390.4(c) or Section 390.4(d), as applicable, shall apply for the term set forth below, depending on the switch date of such switching QF:</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start="1440" w:end="0"/>
        <w:rPr/>
      </w:pPr>
      <w:r>
        <w:rPr>
          <w:rFonts w:eastAsia="Arial" w:cs="Arial" w:ascii="Arial" w:hAnsi="Arial"/>
          <w:sz w:val="20"/>
          <w:szCs w:val="20"/>
          <w:u w:val="single"/>
        </w:rPr>
        <w:t>Switch Date</w:t>
      </w:r>
      <w:r>
        <w:rPr>
          <w:rFonts w:eastAsia="Arial" w:cs="Arial" w:ascii="Arial" w:hAnsi="Arial"/>
          <w:sz w:val="20"/>
          <w:szCs w:val="20"/>
        </w:rPr>
        <w:tab/>
      </w:r>
      <w:r>
        <w:rPr>
          <w:rFonts w:eastAsia="Arial" w:cs="Arial" w:ascii="Arial" w:hAnsi="Arial"/>
          <w:sz w:val="20"/>
          <w:szCs w:val="20"/>
          <w:u w:val="single"/>
        </w:rPr>
        <w:t>Term for prices under Section 390.4(c) and 390.4(d)</w:t>
      </w:r>
    </w:p>
    <w:p>
      <w:pPr>
        <w:pStyle w:val="Normal"/>
        <w:tabs>
          <w:tab w:val="clear" w:pos="720"/>
          <w:tab w:val="left" w:pos="1440" w:leader="none"/>
          <w:tab w:val="left" w:pos="2160" w:leader="none"/>
          <w:tab w:val="left" w:pos="32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start="1440" w:end="0"/>
        <w:rPr>
          <w:rFonts w:ascii="Arial" w:hAnsi="Arial" w:eastAsia="Arial" w:cs="Arial"/>
          <w:sz w:val="20"/>
          <w:szCs w:val="20"/>
        </w:rPr>
      </w:pPr>
      <w:r>
        <w:rPr>
          <w:rFonts w:eastAsia="Arial" w:cs="Arial" w:ascii="Arial" w:hAnsi="Arial"/>
          <w:sz w:val="20"/>
          <w:szCs w:val="20"/>
        </w:rPr>
        <w:t>June 1, 2000</w:t>
        <w:tab/>
        <w:tab/>
        <w:t>54 months</w:t>
      </w:r>
    </w:p>
    <w:p>
      <w:pPr>
        <w:pStyle w:val="Normal"/>
        <w:tabs>
          <w:tab w:val="clear" w:pos="720"/>
          <w:tab w:val="left" w:pos="1440" w:leader="none"/>
          <w:tab w:val="left" w:pos="2160" w:leader="none"/>
          <w:tab w:val="left" w:pos="32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start="1440" w:end="0"/>
        <w:rPr>
          <w:rFonts w:ascii="Arial" w:hAnsi="Arial" w:eastAsia="Arial" w:cs="Arial"/>
          <w:sz w:val="20"/>
          <w:szCs w:val="20"/>
        </w:rPr>
      </w:pPr>
      <w:r>
        <w:rPr>
          <w:rFonts w:eastAsia="Arial" w:cs="Arial" w:ascii="Arial" w:hAnsi="Arial"/>
          <w:sz w:val="20"/>
          <w:szCs w:val="20"/>
        </w:rPr>
        <w:t>July 1, 2000</w:t>
        <w:tab/>
        <w:tab/>
        <w:t>48 months</w:t>
      </w:r>
    </w:p>
    <w:p>
      <w:pPr>
        <w:pStyle w:val="Normal"/>
        <w:tabs>
          <w:tab w:val="clear" w:pos="720"/>
          <w:tab w:val="left" w:pos="1440" w:leader="none"/>
          <w:tab w:val="left" w:pos="2160" w:leader="none"/>
          <w:tab w:val="left" w:pos="32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start="1440" w:end="0"/>
        <w:rPr>
          <w:rFonts w:ascii="Arial" w:hAnsi="Arial" w:eastAsia="Arial" w:cs="Arial"/>
          <w:sz w:val="20"/>
          <w:szCs w:val="20"/>
        </w:rPr>
      </w:pPr>
      <w:r>
        <w:rPr>
          <w:rFonts w:eastAsia="Arial" w:cs="Arial" w:ascii="Arial" w:hAnsi="Arial"/>
          <w:sz w:val="20"/>
          <w:szCs w:val="20"/>
        </w:rPr>
        <w:t>August 1, 2000</w:t>
        <w:tab/>
        <w:tab/>
        <w:t>42 months</w:t>
      </w:r>
    </w:p>
    <w:p>
      <w:pPr>
        <w:pStyle w:val="Normal"/>
        <w:tabs>
          <w:tab w:val="clear" w:pos="720"/>
          <w:tab w:val="left" w:pos="1440" w:leader="none"/>
          <w:tab w:val="left" w:pos="2160" w:leader="none"/>
          <w:tab w:val="left" w:pos="32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start="1440" w:end="0"/>
        <w:rPr>
          <w:rFonts w:ascii="Arial" w:hAnsi="Arial" w:eastAsia="Arial" w:cs="Arial"/>
          <w:sz w:val="20"/>
          <w:szCs w:val="20"/>
        </w:rPr>
      </w:pPr>
      <w:r>
        <w:rPr>
          <w:rFonts w:eastAsia="Arial" w:cs="Arial" w:ascii="Arial" w:hAnsi="Arial"/>
          <w:sz w:val="20"/>
          <w:szCs w:val="20"/>
        </w:rPr>
        <w:t>September 1, 2000</w:t>
        <w:tab/>
        <w:tab/>
        <w:t>36 months</w:t>
      </w:r>
    </w:p>
    <w:p>
      <w:pPr>
        <w:pStyle w:val="Normal"/>
        <w:tabs>
          <w:tab w:val="clear" w:pos="720"/>
          <w:tab w:val="left" w:pos="1440" w:leader="none"/>
          <w:tab w:val="left" w:pos="2160" w:leader="none"/>
          <w:tab w:val="left" w:pos="32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start="1440" w:end="0"/>
        <w:rPr>
          <w:rFonts w:ascii="Arial" w:hAnsi="Arial" w:eastAsia="Arial" w:cs="Arial"/>
          <w:sz w:val="20"/>
          <w:szCs w:val="20"/>
        </w:rPr>
      </w:pPr>
      <w:r>
        <w:rPr>
          <w:rFonts w:eastAsia="Arial" w:cs="Arial" w:ascii="Arial" w:hAnsi="Arial"/>
          <w:sz w:val="20"/>
          <w:szCs w:val="20"/>
        </w:rPr>
        <w:t>October 1, 2000</w:t>
        <w:tab/>
        <w:tab/>
        <w:t>30 months</w:t>
      </w:r>
    </w:p>
    <w:p>
      <w:pPr>
        <w:pStyle w:val="Normal"/>
        <w:tabs>
          <w:tab w:val="clear" w:pos="720"/>
          <w:tab w:val="left" w:pos="1440" w:leader="none"/>
          <w:tab w:val="left" w:pos="2160" w:leader="none"/>
          <w:tab w:val="left" w:pos="32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start="1440" w:end="0"/>
        <w:rPr>
          <w:rFonts w:ascii="Arial" w:hAnsi="Arial" w:eastAsia="Arial" w:cs="Arial"/>
          <w:sz w:val="20"/>
          <w:szCs w:val="20"/>
        </w:rPr>
      </w:pPr>
      <w:r>
        <w:rPr>
          <w:rFonts w:eastAsia="Arial" w:cs="Arial" w:ascii="Arial" w:hAnsi="Arial"/>
          <w:sz w:val="20"/>
          <w:szCs w:val="20"/>
        </w:rPr>
        <w:t>November 1, 2000</w:t>
        <w:tab/>
        <w:tab/>
        <w:t>24 months</w:t>
      </w:r>
    </w:p>
    <w:p>
      <w:pPr>
        <w:pStyle w:val="Normal"/>
        <w:tabs>
          <w:tab w:val="clear" w:pos="720"/>
          <w:tab w:val="left" w:pos="1440" w:leader="none"/>
          <w:tab w:val="left" w:pos="2160" w:leader="none"/>
          <w:tab w:val="left" w:pos="32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start="1440" w:end="0"/>
        <w:rPr>
          <w:rFonts w:ascii="Arial" w:hAnsi="Arial" w:eastAsia="Arial" w:cs="Arial"/>
          <w:sz w:val="20"/>
          <w:szCs w:val="20"/>
        </w:rPr>
      </w:pPr>
      <w:r>
        <w:rPr>
          <w:rFonts w:eastAsia="Arial" w:cs="Arial" w:ascii="Arial" w:hAnsi="Arial"/>
          <w:sz w:val="20"/>
          <w:szCs w:val="20"/>
        </w:rPr>
        <w:t>December 1, 2000</w:t>
        <w:tab/>
        <w:tab/>
        <w:t>18 months</w:t>
      </w:r>
    </w:p>
    <w:p>
      <w:pPr>
        <w:pStyle w:val="BodyText2"/>
        <w:rPr/>
      </w:pPr>
      <w:r>
        <w:rPr/>
        <w:t>c.</w:t>
        <w:tab/>
        <w:t>Notwithstanding the provisions of Section 390.2 or 390.3, beginning on February 1, 2001, and continuing for the applicable term described in Section 390.4(b), the price for energy deliveries to an electrical corporation by switching QFs that are non-gas fueled QFs shall be 5.02 cents per kilowatt hour.  Following the expiration of the applicable term set forth in Section 390.4(b), the price for energy deliveries by switching QFs that are non-gas fueled QFs shall be established pursuant to the methodology set forth in Section 390.2 or 390.3, as applicable.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360" w:start="1440" w:end="0"/>
        <w:rPr>
          <w:rFonts w:ascii="Arial" w:hAnsi="Arial" w:eastAsia="Arial" w:cs="Arial"/>
          <w:sz w:val="20"/>
          <w:szCs w:val="20"/>
        </w:rPr>
      </w:pPr>
      <w:r>
        <w:rPr>
          <w:rFonts w:eastAsia="Arial" w:cs="Arial" w:ascii="Arial" w:hAnsi="Arial"/>
          <w:sz w:val="20"/>
          <w:szCs w:val="20"/>
        </w:rPr>
        <w:t>d.</w:t>
        <w:tab/>
        <w:t>Beginning on February 1, 2001, and continuing for the applicable term described in Section 390.4(b), prices for energy deliveries to an electrical corporation by switching QFs that are gas-fired QFs shall be adjusted by subtracting 0.35 cents per kilowatt hour from either the rate set forth in Section 390.6(b) or the SRAC Methodology, as applicable.  Following the expiration of the applicable term set forth in Section 390.4(b), prices for energy deliveries by switching QFs that are gas-fired QFs shall be established pursuant to the methodology set forth in Section 390.6(b) or the SRAC Methodology, as applicable, without adjustment.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360" w:start="1440" w:end="0"/>
        <w:rPr>
          <w:rFonts w:ascii="Arial" w:hAnsi="Arial" w:eastAsia="Arial" w:cs="Arial"/>
          <w:sz w:val="20"/>
          <w:szCs w:val="20"/>
        </w:rPr>
      </w:pPr>
      <w:r>
        <w:rPr>
          <w:rFonts w:eastAsia="Arial" w:cs="Arial" w:ascii="Arial" w:hAnsi="Arial"/>
          <w:sz w:val="20"/>
          <w:szCs w:val="20"/>
        </w:rPr>
        <w:t>e.</w:t>
        <w:tab/>
        <w:t>The  price, per kilowatt hour, for each switching QF for energy delivered between the QF’s switch date and December 31, 2000 shall be equal to the hourly day-ahead PX constrained market clearing price for the zone in which the QF is located, and shall not be subject to adjustment, revision or true-up of any kind.</w:t>
      </w:r>
    </w:p>
    <w:p>
      <w:pPr>
        <w:pStyle w:val="Norma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rFonts w:eastAsia="Arial" w:cs="Arial" w:ascii="Arial" w:hAnsi="Arial"/>
          <w:sz w:val="20"/>
          <w:szCs w:val="20"/>
        </w:rPr>
        <w:t>390.5</w:t>
        <w:tab/>
      </w:r>
      <w:r>
        <w:rPr>
          <w:rFonts w:eastAsia="Arial" w:cs="Arial" w:ascii="Arial" w:hAnsi="Arial"/>
          <w:sz w:val="20"/>
          <w:szCs w:val="20"/>
          <w:u w:val="single"/>
        </w:rPr>
        <w:t>Biomass-to-Energy Incentive Grant Program</w:t>
      </w:r>
    </w:p>
    <w:p>
      <w:pPr>
        <w:sectPr>
          <w:type w:val="continuous"/>
          <w:pgSz w:w="12240" w:h="15840"/>
          <w:pgMar w:left="1800" w:right="1800" w:gutter="0" w:header="0" w:top="1440" w:footer="1440" w:bottom="1496"/>
          <w:formProt w:val="false"/>
          <w:textDirection w:val="lrTb"/>
        </w:sectPr>
      </w:pPr>
    </w:p>
    <w:p>
      <w:pPr>
        <w:pStyle w:val="Normal"/>
        <w:tabs>
          <w:tab w:val="left" w:pos="720" w:leader="none"/>
          <w:tab w:val="left" w:pos="10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start="1080" w:end="0"/>
        <w:rPr>
          <w:rFonts w:ascii="Arial" w:hAnsi="Arial" w:eastAsia="Arial" w:cs="Arial"/>
          <w:sz w:val="20"/>
          <w:szCs w:val="20"/>
        </w:rPr>
      </w:pPr>
      <w:r>
        <w:rPr>
          <w:rFonts w:eastAsia="Arial" w:cs="Arial" w:ascii="Arial" w:hAnsi="Arial"/>
          <w:sz w:val="20"/>
          <w:szCs w:val="20"/>
        </w:rPr>
        <w:t>The legislature shall provide funding, in addition to the existing agricultural biomass-to-energy incentive grant program, of  twenty million dollars per year, beginning on July 1, 2001, to offset the costs of certain qualified solid biomass fuels including, but not limited to, urban and forest-related materials utilized by any biomass-to-energy facility, and to extend the funding of both the existing and expanded incentive grant program through June 30, 2006.  This program shall continue to be administered by the California Trade and Commerce Agency, and nothing herein shall be construed as to modify the existing agricultural biomass-to-energy program enacted by Chapter 144, Statutes of 2000, other than to extend this initial program and its annual funding through June 30, 2006.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rPr/>
      </w:pPr>
      <w:r>
        <w:rPr>
          <w:rFonts w:eastAsia="Arial" w:cs="Arial" w:ascii="Arial" w:hAnsi="Arial"/>
          <w:sz w:val="20"/>
          <w:szCs w:val="20"/>
        </w:rPr>
        <w:t>390.6</w:t>
        <w:tab/>
      </w:r>
      <w:r>
        <w:rPr>
          <w:rFonts w:eastAsia="Arial" w:cs="Arial" w:ascii="Arial" w:hAnsi="Arial"/>
          <w:sz w:val="20"/>
          <w:szCs w:val="20"/>
          <w:u w:val="single"/>
        </w:rPr>
        <w:t>Pricing Methodology Applicable to Gas-Fired QFs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360" w:start="1440" w:end="0"/>
        <w:rPr>
          <w:rFonts w:ascii="Arial" w:hAnsi="Arial" w:eastAsia="Arial" w:cs="Arial"/>
          <w:sz w:val="20"/>
          <w:szCs w:val="20"/>
        </w:rPr>
      </w:pPr>
      <w:r>
        <w:rPr>
          <w:rFonts w:eastAsia="Arial" w:cs="Arial" w:ascii="Arial" w:hAnsi="Arial"/>
          <w:sz w:val="20"/>
          <w:szCs w:val="20"/>
        </w:rPr>
        <w:t>a.</w:t>
        <w:tab/>
        <w:t>Subject to Section 390.1(l), the purpose of the pricing methodology applicable to gas-fired QFs in this Section 390.6 is to link the prices for the short-run avoided cost of energy provided by gas-fired QFs to the long-term cost of firm burner tip gas prices.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360" w:start="1440" w:end="0"/>
        <w:rPr/>
      </w:pPr>
      <w:r>
        <w:rPr>
          <w:rFonts w:eastAsia="Arial" w:cs="Arial" w:ascii="Arial" w:hAnsi="Arial"/>
          <w:sz w:val="20"/>
          <w:szCs w:val="20"/>
        </w:rPr>
        <w:t>b.</w:t>
        <w:tab/>
        <w:t>The mechanism for implementing the principle set forth in Section 390.6(a) for each gas-fired QF holding a Power a Power Purchase Agreement with Pacific Gas and Electric Company is to determine the short run avoided cost energy payment under the SRAC Methodology, modified by using the applicable “GP” determined for such QF in accordance with Section 390.6(e), in lieu of the SRAC Methodology’s GP</w:t>
      </w:r>
      <w:r>
        <w:rPr>
          <w:rFonts w:eastAsia="Arial" w:cs="Arial" w:ascii="Arial" w:hAnsi="Arial"/>
          <w:sz w:val="20"/>
          <w:szCs w:val="20"/>
          <w:vertAlign w:val="subscript"/>
        </w:rPr>
        <w:t>n</w:t>
      </w:r>
      <w:r>
        <w:rPr>
          <w:rFonts w:eastAsia="Arial" w:cs="Arial" w:ascii="Arial" w:hAnsi="Arial"/>
          <w:sz w:val="20"/>
          <w:szCs w:val="20"/>
        </w:rPr>
        <w:t xml:space="preserve"> border gas price.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360" w:start="1440" w:end="0"/>
        <w:rPr>
          <w:rFonts w:ascii="Arial" w:hAnsi="Arial" w:eastAsia="Arial" w:cs="Arial"/>
          <w:sz w:val="20"/>
          <w:szCs w:val="20"/>
        </w:rPr>
      </w:pPr>
      <w:r>
        <w:rPr>
          <w:rFonts w:eastAsia="Arial" w:cs="Arial" w:ascii="Arial" w:hAnsi="Arial"/>
          <w:sz w:val="20"/>
          <w:szCs w:val="20"/>
        </w:rPr>
        <w:t>c.</w:t>
        <w:tab/>
        <w:t>The mechanism for implementing the principle set forth in Section 390.6(a) above for each gas-fired QF holding a Power a Power Purchase Agreement with Southern California Edison Company is to determine the annual average short-run avoided cost energy payment for each Edison gas-fired QF pursuant to the following formula, expressed in cents per kilowatt hour, as allocated in accordance with Section 390.1(j): </w:t>
      </w:r>
    </w:p>
    <w:p>
      <w:pPr>
        <w:pStyle w:val="Normal"/>
        <w:widowControl/>
        <w:tabs>
          <w:tab w:val="clear" w:pos="720"/>
          <w:tab w:val="left" w:pos="-1440" w:leader="none"/>
        </w:tabs>
        <w:spacing w:lineRule="auto" w:line="480"/>
        <w:ind w:start="1080" w:end="0"/>
        <w:rPr>
          <w:rFonts w:ascii="Arial" w:hAnsi="Arial" w:eastAsia="Arial" w:cs="Arial"/>
          <w:sz w:val="20"/>
          <w:szCs w:val="20"/>
        </w:rPr>
      </w:pPr>
      <w:r>
        <w:rPr>
          <w:rFonts w:eastAsia="Arial" w:cs="Arial" w:ascii="Arial" w:hAnsi="Arial"/>
          <w:sz w:val="20"/>
          <w:szCs w:val="20"/>
        </w:rPr>
      </w:r>
    </w:p>
    <w:p>
      <w:pPr>
        <w:pStyle w:val="Normal"/>
        <w:widowControl/>
        <w:tabs>
          <w:tab w:val="clear" w:pos="720"/>
          <w:tab w:val="left" w:pos="-1440" w:leader="none"/>
        </w:tabs>
        <w:spacing w:lineRule="auto" w:line="480"/>
        <w:ind w:start="2520" w:end="0"/>
        <w:rPr/>
      </w:pPr>
      <w:r>
        <w:rPr>
          <w:rFonts w:eastAsia="Arial" w:cs="Arial" w:ascii="Arial" w:hAnsi="Arial"/>
          <w:sz w:val="20"/>
          <w:szCs w:val="20"/>
        </w:rPr>
        <w:t>[((9,821 x GP)/10,000) + (0.30 x CPI</w:t>
      </w:r>
      <w:r>
        <w:rPr>
          <w:rFonts w:eastAsia="Arial" w:cs="Arial" w:ascii="Arial" w:hAnsi="Arial"/>
          <w:sz w:val="20"/>
          <w:szCs w:val="20"/>
          <w:vertAlign w:val="subscript"/>
        </w:rPr>
        <w:t>n</w:t>
      </w:r>
      <w:r>
        <w:rPr>
          <w:rFonts w:eastAsia="Arial" w:cs="Arial" w:ascii="Arial" w:hAnsi="Arial"/>
          <w:sz w:val="20"/>
          <w:szCs w:val="20"/>
        </w:rPr>
        <w:t xml:space="preserve"> /CPI</w:t>
      </w:r>
      <w:r>
        <w:rPr>
          <w:rFonts w:eastAsia="Arial" w:cs="Arial" w:ascii="Arial" w:hAnsi="Arial"/>
          <w:sz w:val="20"/>
          <w:szCs w:val="20"/>
          <w:vertAlign w:val="subscript"/>
        </w:rPr>
        <w:t>2000</w:t>
      </w:r>
      <w:r>
        <w:rPr>
          <w:rFonts w:eastAsia="Arial" w:cs="Arial" w:ascii="Arial" w:hAnsi="Arial"/>
          <w:sz w:val="20"/>
          <w:szCs w:val="20"/>
        </w:rPr>
        <w:t xml:space="preserve"> )] </w:t>
        <w:br/>
      </w:r>
    </w:p>
    <w:p>
      <w:pPr>
        <w:pStyle w:val="Normal"/>
        <w:ind w:start="1080" w:end="0"/>
        <w:rPr>
          <w:rFonts w:ascii="Arial" w:hAnsi="Arial" w:eastAsia="Arial" w:cs="Arial"/>
          <w:sz w:val="20"/>
          <w:szCs w:val="20"/>
        </w:rPr>
      </w:pPr>
      <w:r>
        <w:rPr>
          <w:rFonts w:eastAsia="Arial" w:cs="Arial" w:ascii="Arial" w:hAnsi="Arial"/>
          <w:sz w:val="20"/>
          <w:szCs w:val="20"/>
        </w:rPr>
        <w:t xml:space="preserve">Where: </w:t>
        <w:br/>
      </w:r>
    </w:p>
    <w:p>
      <w:pPr>
        <w:pStyle w:val="Normal"/>
        <w:ind w:start="2520" w:end="0"/>
        <w:rPr>
          <w:rFonts w:ascii="Arial" w:hAnsi="Arial" w:eastAsia="Arial" w:cs="Arial"/>
          <w:sz w:val="20"/>
          <w:szCs w:val="20"/>
        </w:rPr>
      </w:pPr>
      <w:r>
        <w:rPr>
          <w:rFonts w:eastAsia="Arial" w:cs="Arial" w:ascii="Arial" w:hAnsi="Arial"/>
          <w:sz w:val="20"/>
          <w:szCs w:val="20"/>
        </w:rPr>
        <w:t>1. GP is, for each gas-fired QF, the burnertip price for gas, in $/MMBtu, delivered to such QF as set forth in Section 390.6(e), plus the cost of any credit support required by such QF’s gas supplier to secure performance by such QF over the term of the gas supply arrangement discussed in Section 390.6(e).</w:t>
        <w:br/>
      </w:r>
    </w:p>
    <w:p>
      <w:pPr>
        <w:pStyle w:val="Normal"/>
        <w:ind w:start="2520" w:end="0"/>
        <w:rPr/>
      </w:pPr>
      <w:r>
        <w:rPr>
          <w:rFonts w:eastAsia="Arial" w:cs="Arial" w:ascii="Arial" w:hAnsi="Arial"/>
          <w:sz w:val="20"/>
          <w:szCs w:val="20"/>
        </w:rPr>
        <w:t>2. CPI</w:t>
      </w:r>
      <w:r>
        <w:rPr>
          <w:rFonts w:eastAsia="Arial" w:cs="Arial" w:ascii="Arial" w:hAnsi="Arial"/>
          <w:sz w:val="20"/>
          <w:szCs w:val="20"/>
          <w:vertAlign w:val="subscript"/>
        </w:rPr>
        <w:t>n</w:t>
      </w:r>
      <w:r>
        <w:rPr>
          <w:rFonts w:eastAsia="Arial" w:cs="Arial" w:ascii="Arial" w:hAnsi="Arial"/>
          <w:sz w:val="20"/>
          <w:szCs w:val="20"/>
        </w:rPr>
        <w:t xml:space="preserve"> is the average California Consumer Price Index for the year in which the payments are being made. </w:t>
      </w:r>
    </w:p>
    <w:p>
      <w:pPr>
        <w:pStyle w:val="Normal"/>
        <w:ind w:start="2520" w:end="0"/>
        <w:rPr>
          <w:rFonts w:ascii="Arial" w:hAnsi="Arial" w:eastAsia="Arial" w:cs="Arial"/>
          <w:sz w:val="20"/>
          <w:szCs w:val="20"/>
        </w:rPr>
      </w:pPr>
      <w:r>
        <w:rPr>
          <w:rFonts w:eastAsia="Arial" w:cs="Arial" w:ascii="Arial" w:hAnsi="Arial"/>
          <w:sz w:val="20"/>
          <w:szCs w:val="20"/>
        </w:rPr>
      </w:r>
    </w:p>
    <w:p>
      <w:pPr>
        <w:pStyle w:val="Normal"/>
        <w:ind w:start="2520" w:end="0"/>
        <w:rPr/>
      </w:pPr>
      <w:r>
        <w:rPr>
          <w:rFonts w:eastAsia="Arial" w:cs="Arial" w:ascii="Arial" w:hAnsi="Arial"/>
          <w:sz w:val="20"/>
          <w:szCs w:val="20"/>
        </w:rPr>
        <w:t>3. CPI</w:t>
      </w:r>
      <w:r>
        <w:rPr>
          <w:rFonts w:eastAsia="Arial" w:cs="Arial" w:ascii="Arial" w:hAnsi="Arial"/>
          <w:sz w:val="20"/>
          <w:szCs w:val="20"/>
          <w:vertAlign w:val="subscript"/>
        </w:rPr>
        <w:t xml:space="preserve">2000 </w:t>
      </w:r>
      <w:r>
        <w:rPr>
          <w:rFonts w:eastAsia="Arial" w:cs="Arial" w:ascii="Arial" w:hAnsi="Arial"/>
          <w:sz w:val="20"/>
          <w:szCs w:val="20"/>
        </w:rPr>
        <w:t>is the average California Consumer Price Index for the year 2000.</w:t>
      </w:r>
    </w:p>
    <w:p>
      <w:pPr>
        <w:pStyle w:val="Normal"/>
        <w:ind w:start="2520" w:end="0"/>
        <w:rPr>
          <w:rFonts w:ascii="Arial" w:hAnsi="Arial" w:eastAsia="Arial" w:cs="Arial"/>
          <w:sz w:val="20"/>
          <w:szCs w:val="20"/>
        </w:rPr>
      </w:pPr>
      <w:r>
        <w:rPr>
          <w:rFonts w:eastAsia="Arial" w:cs="Arial" w:ascii="Arial" w:hAnsi="Arial"/>
          <w:sz w:val="20"/>
          <w:szCs w:val="20"/>
        </w:rPr>
        <w:b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360" w:start="1440" w:end="0"/>
        <w:rPr/>
      </w:pPr>
      <w:r>
        <w:rPr>
          <w:rFonts w:eastAsia="Arial" w:cs="Arial" w:ascii="Arial" w:hAnsi="Arial"/>
          <w:sz w:val="20"/>
          <w:szCs w:val="20"/>
        </w:rPr>
        <w:t>d.</w:t>
        <w:tab/>
        <w:t>The mechanism for implementing the principle set forth in Section 390.6(a) above for each gas-fired QF holding a Power a Power Purchase Agreement with San Diego Gas &amp; Electric Company is to determine the short run avoided cost energy payment under the SRAC Methodology, modified by using the “GP” determined for such QF in accordance with Section 390.6(e), in lieu of the SRAC Methodology’s GP</w:t>
      </w:r>
      <w:r>
        <w:rPr>
          <w:rFonts w:eastAsia="Arial" w:cs="Arial" w:ascii="Arial" w:hAnsi="Arial"/>
          <w:sz w:val="20"/>
          <w:szCs w:val="20"/>
          <w:vertAlign w:val="subscript"/>
        </w:rPr>
        <w:t>n</w:t>
      </w:r>
      <w:r>
        <w:rPr>
          <w:rFonts w:eastAsia="Arial" w:cs="Arial" w:ascii="Arial" w:hAnsi="Arial"/>
          <w:sz w:val="20"/>
          <w:szCs w:val="20"/>
        </w:rPr>
        <w:t xml:space="preserve"> border gas price.</w:t>
      </w:r>
    </w:p>
    <w:p>
      <w:pPr>
        <w:pStyle w:val="Normal"/>
        <w:ind w:start="2520" w:end="0"/>
        <w:rPr>
          <w:rFonts w:ascii="Arial" w:hAnsi="Arial" w:eastAsia="Arial" w:cs="Arial"/>
          <w:sz w:val="20"/>
          <w:szCs w:val="20"/>
        </w:rPr>
      </w:pPr>
      <w:r>
        <w:rPr>
          <w:rFonts w:eastAsia="Arial" w:cs="Arial" w:ascii="Arial" w:hAnsi="Arial"/>
          <w:sz w:val="20"/>
          <w:szCs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360" w:start="1440" w:end="0"/>
        <w:rPr>
          <w:rFonts w:ascii="Arial" w:hAnsi="Arial" w:eastAsia="Arial" w:cs="Arial"/>
          <w:sz w:val="20"/>
          <w:szCs w:val="20"/>
        </w:rPr>
      </w:pPr>
      <w:r>
        <w:rPr>
          <w:rFonts w:eastAsia="Arial" w:cs="Arial" w:ascii="Arial" w:hAnsi="Arial"/>
          <w:sz w:val="20"/>
          <w:szCs w:val="20"/>
        </w:rPr>
        <w:t>e.</w:t>
        <w:tab/>
        <w:t>The gas purchase arrangement and “GP” for each gas-fired QF whose energy payments are determined under this Section shall be determined in accordance with the gas purchase arrangements set forth in the Agreement on Long-Term Gas Purchase Arrangements between [CCC, IEP and PG&amp;E], dated February 1, 2001.  The implementation and administration of such arrangements by the electrical corporation shall be deemed reasonable and not subject to further reasonableness review by the commission.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360" w:start="1440" w:end="0"/>
        <w:rPr>
          <w:rFonts w:ascii="Arial" w:hAnsi="Arial" w:eastAsia="Arial" w:cs="Arial"/>
          <w:sz w:val="20"/>
          <w:szCs w:val="20"/>
        </w:rPr>
      </w:pPr>
      <w:r>
        <w:rPr>
          <w:rFonts w:eastAsia="Arial" w:cs="Arial" w:ascii="Arial" w:hAnsi="Arial"/>
          <w:sz w:val="20"/>
          <w:szCs w:val="20"/>
        </w:rPr>
        <w:t>f.</w:t>
        <w:tab/>
        <w:t>Gas-fired QFs with Power Purchase Agreements that contain non-standard energy pricing terms shall not be included in the gas purchase arrangements described in Section 390.6(e) unless their Power Purchase Agreements are conformed, by mutual agreement of the parties, to reflect the energy pricing methodology set forth in this Section 390.6.</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360" w:start="1440" w:end="0"/>
        <w:rPr>
          <w:rFonts w:ascii="Arial" w:hAnsi="Arial" w:eastAsia="Arial" w:cs="Arial"/>
          <w:sz w:val="20"/>
          <w:szCs w:val="20"/>
        </w:rPr>
      </w:pPr>
      <w:r>
        <w:rPr>
          <w:rFonts w:eastAsia="Arial" w:cs="Arial" w:ascii="Arial" w:hAnsi="Arial"/>
          <w:sz w:val="20"/>
          <w:szCs w:val="20"/>
        </w:rPr>
        <w:t>g.</w:t>
        <w:tab/>
        <w:t>Unless otherwise agreed by the electrical corporation and a given gas-fired QF, at the expiration of the gas purchase arrangement and associated energy pricing methodology as described above, energy payments to gas-fired QFs shall be in accordance with the SRAC Methodology.</w:t>
      </w:r>
    </w:p>
    <w:sectPr>
      <w:type w:val="continuous"/>
      <w:pgSz w:w="12240" w:h="15840"/>
      <w:pgMar w:left="1800" w:right="1800" w:gutter="0" w:header="0" w:top="1440" w:footer="1440" w:bottom="1496"/>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sz w:val="20"/>
      <w:szCs w:val="20"/>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 w:val="left" w:pos="1440" w:leader="none"/>
      </w:tabs>
      <w:spacing w:lineRule="auto" w:line="480"/>
    </w:pPr>
    <w:rPr>
      <w:rFonts w:ascii="Arial" w:hAnsi="Arial" w:eastAsia="Arial" w:cs="Arial"/>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hanging="360" w:start="1440" w:end="0"/>
    </w:pPr>
    <w:rPr>
      <w:rFonts w:ascii="Arial" w:hAnsi="Arial" w:eastAsia="Arial" w:cs="Arial"/>
      <w:sz w:val="20"/>
      <w:szCs w:val="20"/>
    </w:rPr>
  </w:style>
  <w:style w:type="paragraph" w:styleId="WW-BodyText2">
    <w:name w:val="WW-Body Text 2"/>
    <w:basedOn w:val="Normal"/>
    <w:qFormat/>
    <w:pPr>
      <w:spacing w:lineRule="auto" w:line="480"/>
      <w:jc w:val="center"/>
    </w:pPr>
    <w:rPr>
      <w:rFonts w:ascii="Arial" w:hAnsi="Arial" w:eastAsia="Arial" w:cs="Arial"/>
      <w:b/>
      <w:bCs/>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2001-02-01T21:43:00Z</dcterms:created>
  <dc:creator>WHITE &amp; CASE</dc:creator>
  <dc:description/>
  <dc:language>en-CA</dc:language>
  <cp:lastModifiedBy>Steven Kelly</cp:lastModifiedBy>
  <cp:lastPrinted>2001-02-01T14:07:00Z</cp:lastPrinted>
  <dcterms:modified xsi:type="dcterms:W3CDTF">2001-02-01T21:43:00Z</dcterms:modified>
  <cp:revision>2</cp:revision>
  <dc:subject/>
  <dc:title>IEP Legislative Draft of Public Utilities Code Section 390 Amendment - In Conjunction With [A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Description">
    <vt:lpwstr> </vt:lpwstr>
  </property>
  <property fmtid="{D5CDD505-2E9C-101B-9397-08002B2CF9AE}" pid="3" name="Full DOS Name">
    <vt:bool>0</vt:bool>
  </property>
</Properties>
</file>