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bookmarkStart w:id="0" w:name="to"/>
            <w:bookmarkEnd w:id="0"/>
            <w:r>
              <w:rPr/>
              <w:t>ETS Employees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Dan McCarty &amp; Steve Hotte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65" w:type="dxa"/>
            <w:tcBorders/>
          </w:tcPr>
          <w:p>
            <w:pPr>
              <w:pStyle w:val="Department"/>
              <w:snapToGrid w:val="false"/>
              <w:rPr>
                <w:sz w:val="16"/>
              </w:rPr>
            </w:pPr>
            <w:r>
              <w:rPr>
                <w:sz w:val="16"/>
              </w:rPr>
            </w:r>
            <w:bookmarkStart w:id="1" w:name="From"/>
            <w:bookmarkStart w:id="2" w:name="From"/>
            <w:bookmarkEnd w:id="2"/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8" w:space="0" w:color="000000"/>
            </w:tcBorders>
          </w:tcPr>
          <w:p>
            <w:pPr>
              <w:pStyle w:val="Subject"/>
              <w:rPr/>
            </w:pPr>
            <w:bookmarkStart w:id="3" w:name="Subject"/>
            <w:bookmarkEnd w:id="3"/>
            <w:r>
              <w:rPr/>
              <w:t>IdeaBank Web site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8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rPr/>
      </w:pPr>
      <w:r>
        <w:rPr/>
      </w:r>
    </w:p>
    <w:p>
      <w:pPr>
        <w:pStyle w:val="Body"/>
        <w:jc w:val="both"/>
        <w:rPr>
          <w:sz w:val="24"/>
        </w:rPr>
      </w:pPr>
      <w:r>
        <w:rPr>
          <w:sz w:val="24"/>
        </w:rPr>
        <w:t>Do you have an idea that could add a significant amount of gross margin to ETS? Have you been thinking about a new business, new service, acquisition or merger?</w:t>
      </w:r>
    </w:p>
    <w:p>
      <w:pPr>
        <w:pStyle w:val="Body"/>
        <w:jc w:val="both"/>
        <w:rPr>
          <w:sz w:val="24"/>
        </w:rPr>
      </w:pPr>
      <w:r>
        <w:rPr>
          <w:sz w:val="24"/>
        </w:rPr>
      </w:r>
    </w:p>
    <w:p>
      <w:pPr>
        <w:pStyle w:val="Body"/>
        <w:jc w:val="both"/>
        <w:rPr>
          <w:sz w:val="24"/>
        </w:rPr>
      </w:pPr>
      <w:r>
        <w:rPr>
          <w:sz w:val="24"/>
        </w:rPr>
        <w:t xml:space="preserve">Don’t just “think” about your idea, share it with your co-workers and ETS leadership via the ETS </w:t>
      </w:r>
    </w:p>
    <w:p>
      <w:pPr>
        <w:pStyle w:val="Body"/>
        <w:jc w:val="both"/>
        <w:rPr>
          <w:sz w:val="24"/>
        </w:rPr>
      </w:pPr>
      <w:r>
        <w:rPr>
          <w:sz w:val="24"/>
        </w:rPr>
        <w:t>IdeaBank.</w:t>
      </w:r>
    </w:p>
    <w:p>
      <w:pPr>
        <w:pStyle w:val="Body"/>
        <w:jc w:val="both"/>
        <w:rPr>
          <w:sz w:val="24"/>
        </w:rPr>
      </w:pPr>
      <w:r>
        <w:rPr>
          <w:sz w:val="24"/>
        </w:rPr>
      </w:r>
    </w:p>
    <w:p>
      <w:pPr>
        <w:pStyle w:val="Body"/>
        <w:jc w:val="both"/>
        <w:rPr/>
      </w:pPr>
      <w:r>
        <w:rPr>
          <w:sz w:val="24"/>
        </w:rPr>
        <w:t xml:space="preserve">The ETS IdeaBank is located at </w:t>
      </w:r>
      <w:hyperlink r:id="rId3">
        <w:r>
          <w:rPr>
            <w:rStyle w:val="Hyperlink"/>
            <w:b/>
            <w:sz w:val="24"/>
          </w:rPr>
          <w:t>http://ideabank.ets.enron.com/</w:t>
        </w:r>
      </w:hyperlink>
      <w:r>
        <w:rPr>
          <w:sz w:val="24"/>
        </w:rPr>
        <w:t xml:space="preserve">. You can access IdeaBank with your SAP “P” number.  The default password is </w:t>
      </w:r>
      <w:r>
        <w:rPr>
          <w:b/>
          <w:color w:val="800080"/>
          <w:sz w:val="24"/>
        </w:rPr>
        <w:t>ideabank</w:t>
      </w:r>
      <w:r>
        <w:rPr>
          <w:sz w:val="24"/>
        </w:rPr>
        <w:t xml:space="preserve">.  After an innovation is logged, an Idea Owner is assigned to the idea. The Idea Owner manages each idea and is responsible for shepherding the idea throughout a 30-day comment period.  After the comment period, the Idea Owner will prepare a “go/no go” recommendation within 15 days. The “go/no go” recommendation will be reviewed by ETS Managing Directors.  </w:t>
      </w:r>
    </w:p>
    <w:p>
      <w:pPr>
        <w:pStyle w:val="Body"/>
        <w:jc w:val="both"/>
        <w:rPr>
          <w:sz w:val="24"/>
        </w:rPr>
      </w:pPr>
      <w:r>
        <w:rPr>
          <w:sz w:val="24"/>
        </w:rPr>
      </w:r>
    </w:p>
    <w:p>
      <w:pPr>
        <w:pStyle w:val="Body"/>
        <w:jc w:val="both"/>
        <w:rPr>
          <w:sz w:val="24"/>
        </w:rPr>
      </w:pPr>
      <w:r>
        <w:rPr>
          <w:sz w:val="24"/>
        </w:rPr>
        <w:t>Approved recommendations will then be submitted to a group selected by the Managing Directors and the Idea Owners for implementation.</w:t>
      </w:r>
    </w:p>
    <w:p>
      <w:pPr>
        <w:pStyle w:val="Body"/>
        <w:jc w:val="both"/>
        <w:rPr>
          <w:sz w:val="24"/>
        </w:rPr>
      </w:pPr>
      <w:r>
        <w:rPr>
          <w:sz w:val="24"/>
        </w:rPr>
      </w:r>
    </w:p>
    <w:p>
      <w:pPr>
        <w:pStyle w:val="Body"/>
        <w:jc w:val="both"/>
        <w:rPr>
          <w:sz w:val="24"/>
        </w:rPr>
      </w:pPr>
      <w:r>
        <w:rPr>
          <w:sz w:val="24"/>
        </w:rPr>
        <w:t xml:space="preserve">Share your know-how, ingenuity, and innovative solutions on the ETS IdeaBank. From the ideas gathered, we will work to explore ideas and, where possible, implement initiatives. </w:t>
      </w:r>
    </w:p>
    <w:p>
      <w:pPr>
        <w:pStyle w:val="Body"/>
        <w:jc w:val="both"/>
        <w:rPr>
          <w:sz w:val="24"/>
        </w:rPr>
      </w:pPr>
      <w:r>
        <w:rPr>
          <w:sz w:val="24"/>
        </w:rPr>
      </w:r>
    </w:p>
    <w:p>
      <w:pPr>
        <w:pStyle w:val="Body"/>
        <w:jc w:val="both"/>
        <w:rPr>
          <w:sz w:val="24"/>
        </w:rPr>
      </w:pPr>
      <w:r>
        <w:rPr>
          <w:sz w:val="24"/>
        </w:rPr>
        <w:t xml:space="preserve">If you need assistance, please call the ETS Solution Center at (713) 345-4745. </w:t>
      </w:r>
    </w:p>
    <w:p>
      <w:pPr>
        <w:pStyle w:val="Body"/>
        <w:jc w:val="both"/>
        <w:rPr>
          <w:sz w:val="24"/>
        </w:rPr>
      </w:pPr>
      <w:r>
        <w:rPr>
          <w:sz w:val="24"/>
        </w:rPr>
      </w:r>
    </w:p>
    <w:p>
      <w:pPr>
        <w:pStyle w:val="Body"/>
        <w:jc w:val="both"/>
        <w:rPr>
          <w:sz w:val="24"/>
        </w:rPr>
      </w:pPr>
      <w:r>
        <w:rPr>
          <w:sz w:val="24"/>
        </w:rPr>
        <w:t>Thanks, in advance, for sharing your latest innovation.</w:t>
      </w:r>
    </w:p>
    <w:p>
      <w:pPr>
        <w:pStyle w:val="Body"/>
        <w:rPr>
          <w:sz w:val="24"/>
        </w:rPr>
      </w:pPr>
      <w:r>
        <w:rPr>
          <w:sz w:val="24"/>
        </w:rPr>
      </w:r>
    </w:p>
    <w:p>
      <w:pPr>
        <w:pStyle w:val="CopyList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b/>
        <w:sz w:val="16"/>
      </w:rPr>
    </w:pPr>
    <w:r>
      <w:rPr>
        <w:b/>
        <w:sz w:val="16"/>
      </w:rPr>
      <w:tab/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-275590</wp:posOffset>
              </wp:positionV>
              <wp:extent cx="3877310" cy="70294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29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35pt;mso-wrap-distance-left:9.35pt;mso-wrap-distance-right:9.35pt;mso-wrap-distance-top:0pt;mso-wrap-distance-bottom:0pt;margin-top:-21.7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ideabank.ets.enron.com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Bfsmemo3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2000-10-25T19:09:00Z</dcterms:created>
  <dc:creator>ET&amp;S</dc:creator>
  <dc:description/>
  <dc:language>en-CA</dc:language>
  <cp:lastModifiedBy>lvillar</cp:lastModifiedBy>
  <cp:lastPrinted>2000-10-24T19:00:00Z</cp:lastPrinted>
  <dcterms:modified xsi:type="dcterms:W3CDTF">2000-10-25T19:09:00Z</dcterms:modified>
  <cp:revision>2</cp:revision>
  <dc:subject/>
  <dc:title>Better, Faster, Simpler Memo </dc:title>
</cp:coreProperties>
</file>