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0"/>
        </w:rPr>
      </w:pPr>
      <w:r>
        <w:rPr>
          <w:sz w:val="20"/>
        </w:rPr>
        <w:drawing>
          <wp:inline distT="0" distB="0" distL="0" distR="0">
            <wp:extent cx="994410" cy="98742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94410" cy="987425"/>
                    </a:xfrm>
                    <a:prstGeom prst="rect">
                      <a:avLst/>
                    </a:prstGeom>
                    <a:noFill/>
                  </pic:spPr>
                </pic:pic>
              </a:graphicData>
            </a:graphic>
          </wp:inline>
        </w:drawing>
      </w:r>
    </w:p>
    <w:p>
      <w:pPr>
        <w:pStyle w:val="Heading"/>
        <w:rPr/>
      </w:pPr>
      <w:r>
        <w:rPr/>
      </w:r>
    </w:p>
    <w:tbl>
      <w:tblPr>
        <w:tblW w:w="10708" w:type="dxa"/>
        <w:jc w:val="start"/>
        <w:tblInd w:w="200" w:type="dxa"/>
        <w:tblLayout w:type="fixed"/>
        <w:tblCellMar>
          <w:top w:w="0" w:type="dxa"/>
          <w:start w:w="108" w:type="dxa"/>
          <w:bottom w:w="0" w:type="dxa"/>
          <w:end w:w="108" w:type="dxa"/>
        </w:tblCellMar>
      </w:tblPr>
      <w:tblGrid>
        <w:gridCol w:w="708"/>
        <w:gridCol w:w="6045"/>
        <w:gridCol w:w="990"/>
        <w:gridCol w:w="2965"/>
      </w:tblGrid>
      <w:tr>
        <w:trPr>
          <w:trHeight w:val="300" w:hRule="exact"/>
        </w:trPr>
        <w:tc>
          <w:tcPr>
            <w:tcW w:w="708" w:type="dxa"/>
            <w:tcBorders/>
          </w:tcPr>
          <w:p>
            <w:pPr>
              <w:pStyle w:val="Normal"/>
              <w:ind w:start="-180" w:end="0"/>
              <w:jc w:val="end"/>
              <w:rPr>
                <w:sz w:val="16"/>
              </w:rPr>
            </w:pPr>
            <w:r>
              <w:rPr>
                <w:sz w:val="16"/>
              </w:rPr>
              <w:t>To:</w:t>
            </w:r>
          </w:p>
        </w:tc>
        <w:tc>
          <w:tcPr>
            <w:tcW w:w="6045" w:type="dxa"/>
            <w:tcBorders/>
          </w:tcPr>
          <w:p>
            <w:pPr>
              <w:pStyle w:val="To"/>
              <w:rPr/>
            </w:pPr>
            <w:r>
              <w:rPr/>
              <w:t>J. Hartsoe, J. Steffes, S. Montovano, S. Novosel</w:t>
            </w:r>
          </w:p>
        </w:tc>
        <w:tc>
          <w:tcPr>
            <w:tcW w:w="990" w:type="dxa"/>
            <w:tcBorders/>
          </w:tcPr>
          <w:p>
            <w:pPr>
              <w:pStyle w:val="Normal"/>
              <w:snapToGrid w:val="false"/>
              <w:ind w:start="-180" w:end="0"/>
              <w:rPr/>
            </w:pPr>
            <w:r>
              <w:rPr/>
            </w:r>
          </w:p>
        </w:tc>
        <w:tc>
          <w:tcPr>
            <w:tcW w:w="2965" w:type="dxa"/>
            <w:tcBorders/>
          </w:tcPr>
          <w:p>
            <w:pPr>
              <w:pStyle w:val="Normal"/>
              <w:snapToGrid w:val="false"/>
              <w:rPr/>
            </w:pPr>
            <w:r>
              <w:rPr/>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300" w:hRule="exact"/>
        </w:trPr>
        <w:tc>
          <w:tcPr>
            <w:tcW w:w="708" w:type="dxa"/>
            <w:tcBorders/>
          </w:tcPr>
          <w:p>
            <w:pPr>
              <w:pStyle w:val="Normal"/>
              <w:ind w:start="-180" w:end="0"/>
              <w:jc w:val="end"/>
              <w:rPr>
                <w:sz w:val="16"/>
              </w:rPr>
            </w:pPr>
            <w:r>
              <w:rPr>
                <w:sz w:val="16"/>
              </w:rPr>
              <w:t>From:</w:t>
            </w:r>
          </w:p>
        </w:tc>
        <w:tc>
          <w:tcPr>
            <w:tcW w:w="6045" w:type="dxa"/>
            <w:tcBorders/>
          </w:tcPr>
          <w:p>
            <w:pPr>
              <w:pStyle w:val="From"/>
              <w:rPr/>
            </w:pPr>
            <w:r>
              <w:rPr/>
              <w:t>Dan Allegretti</w:t>
            </w:r>
          </w:p>
        </w:tc>
        <w:tc>
          <w:tcPr>
            <w:tcW w:w="990" w:type="dxa"/>
            <w:tcBorders/>
          </w:tcPr>
          <w:p>
            <w:pPr>
              <w:pStyle w:val="Normal"/>
              <w:ind w:start="-180" w:end="0"/>
              <w:jc w:val="end"/>
              <w:rPr>
                <w:sz w:val="16"/>
              </w:rPr>
            </w:pPr>
            <w:r>
              <w:rPr>
                <w:sz w:val="16"/>
              </w:rPr>
              <w:t>Department:</w:t>
            </w:r>
          </w:p>
        </w:tc>
        <w:tc>
          <w:tcPr>
            <w:tcW w:w="2965" w:type="dxa"/>
            <w:tcBorders/>
          </w:tcPr>
          <w:p>
            <w:pPr>
              <w:pStyle w:val="Department"/>
              <w:rPr/>
            </w:pPr>
            <w:bookmarkStart w:id="0" w:name="From"/>
            <w:bookmarkEnd w:id="0"/>
            <w:r>
              <w:rPr/>
              <w:t>State Government Affairs</w:t>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600" w:hRule="exact"/>
        </w:trPr>
        <w:tc>
          <w:tcPr>
            <w:tcW w:w="708" w:type="dxa"/>
            <w:tcBorders>
              <w:bottom w:val="single" w:sz="12" w:space="0" w:color="000000"/>
            </w:tcBorders>
          </w:tcPr>
          <w:p>
            <w:pPr>
              <w:pStyle w:val="Normal"/>
              <w:ind w:start="-180" w:end="0"/>
              <w:jc w:val="end"/>
              <w:rPr>
                <w:sz w:val="16"/>
              </w:rPr>
            </w:pPr>
            <w:r>
              <w:rPr>
                <w:sz w:val="16"/>
              </w:rPr>
              <w:t>Subject:</w:t>
            </w:r>
          </w:p>
        </w:tc>
        <w:tc>
          <w:tcPr>
            <w:tcW w:w="6045" w:type="dxa"/>
            <w:tcBorders>
              <w:bottom w:val="single" w:sz="12" w:space="0" w:color="000000"/>
            </w:tcBorders>
          </w:tcPr>
          <w:p>
            <w:pPr>
              <w:pStyle w:val="Subject"/>
              <w:rPr/>
            </w:pPr>
            <w:r>
              <w:rPr/>
              <w:t>NEPOOL ICAP</w:t>
            </w:r>
          </w:p>
        </w:tc>
        <w:tc>
          <w:tcPr>
            <w:tcW w:w="990" w:type="dxa"/>
            <w:tcBorders>
              <w:bottom w:val="single" w:sz="12" w:space="0" w:color="000000"/>
            </w:tcBorders>
          </w:tcPr>
          <w:p>
            <w:pPr>
              <w:pStyle w:val="Normal"/>
              <w:ind w:start="-180" w:end="0"/>
              <w:jc w:val="end"/>
              <w:rPr>
                <w:sz w:val="16"/>
              </w:rPr>
            </w:pPr>
            <w:r>
              <w:rPr>
                <w:sz w:val="16"/>
              </w:rPr>
              <w:t>Date:</w:t>
            </w:r>
          </w:p>
        </w:tc>
        <w:tc>
          <w:tcPr>
            <w:tcW w:w="2965" w:type="dxa"/>
            <w:tcBorders>
              <w:bottom w:val="single" w:sz="12" w:space="0" w:color="000000"/>
            </w:tcBorders>
          </w:tcPr>
          <w:p>
            <w:pPr>
              <w:pStyle w:val="Date"/>
              <w:rPr/>
            </w:pPr>
            <w:r>
              <w:rPr/>
              <w:t>July 10, 2000</w:t>
            </w:r>
          </w:p>
        </w:tc>
      </w:tr>
    </w:tbl>
    <w:p>
      <w:pPr>
        <w:pStyle w:val="Heading1"/>
        <w:ind w:hanging="0" w:start="0"/>
        <w:rPr/>
      </w:pPr>
      <w:r>
        <w:rPr/>
      </w:r>
      <w:bookmarkStart w:id="1" w:name="StartOfMemo"/>
      <w:bookmarkStart w:id="2" w:name="StartOfMemo"/>
      <w:bookmarkEnd w:id="2"/>
    </w:p>
    <w:p>
      <w:pPr>
        <w:pStyle w:val="Normal"/>
        <w:jc w:val="center"/>
        <w:rPr>
          <w:b/>
          <w:u w:val="single"/>
        </w:rPr>
      </w:pPr>
      <w:r>
        <w:rPr>
          <w:b/>
        </w:rPr>
        <w:t>***</w:t>
      </w:r>
      <w:r>
        <w:rPr>
          <w:b/>
          <w:u w:val="single"/>
        </w:rPr>
        <w:t>CONFIDENTIAL</w:t>
      </w:r>
      <w:r>
        <w:rPr>
          <w:b/>
        </w:rPr>
        <w:t>***</w:t>
      </w:r>
    </w:p>
    <w:p>
      <w:pPr>
        <w:pStyle w:val="Normal"/>
        <w:jc w:val="center"/>
        <w:rPr/>
      </w:pPr>
      <w:r>
        <w:rPr>
          <w:b/>
        </w:rPr>
        <w:t>***</w:t>
      </w:r>
      <w:r>
        <w:rPr>
          <w:b/>
          <w:u w:val="single"/>
        </w:rPr>
        <w:t>FOR INTERNAL DISTRIBUTION ONLY</w:t>
      </w:r>
      <w:r>
        <w:rPr>
          <w:b/>
        </w:rPr>
        <w:t>***</w:t>
      </w:r>
    </w:p>
    <w:p>
      <w:pPr>
        <w:pStyle w:val="Normal"/>
        <w:rPr>
          <w:b/>
          <w:u w:val="single"/>
        </w:rPr>
      </w:pPr>
      <w:r>
        <w:rPr>
          <w:b/>
          <w:u w:val="single"/>
        </w:rPr>
      </w:r>
    </w:p>
    <w:p>
      <w:pPr>
        <w:pStyle w:val="Normal"/>
        <w:rPr>
          <w:u w:val="single"/>
        </w:rPr>
      </w:pPr>
      <w:r>
        <w:rPr>
          <w:u w:val="single"/>
        </w:rPr>
      </w:r>
    </w:p>
    <w:p>
      <w:pPr>
        <w:pStyle w:val="Heading1"/>
        <w:ind w:hanging="0" w:start="0"/>
        <w:rPr/>
      </w:pPr>
      <w:r>
        <w:rPr/>
        <w:t>THE FERC DECISION</w:t>
      </w:r>
    </w:p>
    <w:p>
      <w:pPr>
        <w:pStyle w:val="Normal"/>
        <w:rPr/>
      </w:pPr>
      <w:r>
        <w:rPr/>
      </w:r>
    </w:p>
    <w:p>
      <w:pPr>
        <w:pStyle w:val="Normal"/>
        <w:rPr/>
      </w:pPr>
      <w:r>
        <w:rPr/>
        <w:t>The FERC issued a decision on June 28, 2000 in which the Commission authorized nepool to eliminate the auction market for installed capability (icap) but declined to eliminate the icap obligation at this time.  Citing concerns about existing contractual arrangements and about reliability, FERC retained the icap obligation and directed iso-ne and nepool to file a proposed deficiency charge within 30 days.  The FERC also stated that “the proper time to consider the elimination of the icap requirement would be after the iso has proposed an alternative mechanism that would serve the reliability function previously served by the icap requirement.”  Elsewhere in the order FERC appears to indicate that such an alternative mechanism could be a forward contracting mechanism for reserves.  “To the extent that forward reserve purchases take the place of proposals for an icap market with a deliverability requirement, this may prove to be a workable design alternative.”</w:t>
      </w:r>
    </w:p>
    <w:p>
      <w:pPr>
        <w:pStyle w:val="Normal"/>
        <w:rPr/>
      </w:pPr>
      <w:r>
        <w:rPr/>
      </w:r>
    </w:p>
    <w:p>
      <w:pPr>
        <w:pStyle w:val="Normal"/>
        <w:rPr/>
      </w:pPr>
      <w:r>
        <w:rPr/>
      </w:r>
    </w:p>
    <w:p>
      <w:pPr>
        <w:pStyle w:val="Heading1"/>
        <w:ind w:hanging="0" w:start="0"/>
        <w:rPr/>
      </w:pPr>
      <w:r>
        <w:rPr/>
        <w:t>STRATEGIES</w:t>
      </w:r>
    </w:p>
    <w:p>
      <w:pPr>
        <w:pStyle w:val="Normal"/>
        <w:rPr>
          <w:b/>
        </w:rPr>
      </w:pPr>
      <w:r>
        <w:rPr>
          <w:b/>
        </w:rPr>
      </w:r>
    </w:p>
    <w:p>
      <w:pPr>
        <w:pStyle w:val="Heading2"/>
        <w:ind w:hanging="0" w:start="0"/>
        <w:rPr/>
      </w:pPr>
      <w:r>
        <w:rPr/>
        <w:t>FERC</w:t>
      </w:r>
    </w:p>
    <w:p>
      <w:pPr>
        <w:pStyle w:val="Normal"/>
        <w:rPr>
          <w:u w:val="single"/>
        </w:rPr>
      </w:pPr>
      <w:r>
        <w:rPr>
          <w:u w:val="single"/>
        </w:rPr>
      </w:r>
    </w:p>
    <w:p>
      <w:pPr>
        <w:pStyle w:val="Normal"/>
        <w:rPr/>
      </w:pPr>
      <w:r>
        <w:rPr/>
        <w:t>The first strategy is to seek rehearing before the FERC and ask the commission to reverse its decision to retain the icap obligation.  We will seek icap elimination without replacement.  This is the best possible outcome, however, motions for rehearing on a 4-0 decision are an uphill effort.  Nevertheless, such a motion appears appropriate given the value at risk and the level of support which exists outside FERC for icap elimination.</w:t>
      </w:r>
    </w:p>
    <w:p>
      <w:pPr>
        <w:pStyle w:val="Normal"/>
        <w:rPr/>
      </w:pPr>
      <w:r>
        <w:rPr/>
      </w:r>
    </w:p>
    <w:p>
      <w:pPr>
        <w:pStyle w:val="Normal"/>
        <w:rPr/>
      </w:pPr>
      <w:r>
        <w:rPr/>
        <w:t>The basic economic arguments for eliminating icap were made already by the iso.  In hindsight, however, the iso may not have adequately addressed the FERC’s concerns with existing contracts and may not have adequately rebutted the testimony submitted by several generators on the economic and reliability issues.  We are retaining counsel and building a coalition of end users, marketers and utilities behind a motion for rehearing (Brown, Olson &amp; Wilson will do the primary drafting of a coalition pleading with Bracewell &amp; Patterson reviewing it).  Our motion will bolster the economic arguments to eliminate icap and offer an alternative way to address bilateral agreements (by setting the deficiency charge at zero and phasing it out overtime).  We will also retain an expert witness for the rehearing and intervention on the compliance filing to offer testimony rebutting the generators with greater detail and greater weight.   Professor William Hogan is not available due to a conflict of interest.  Larry Ruff has been approached and is available.  The rehearing motion is due July 28, 2000.</w:t>
      </w:r>
    </w:p>
    <w:p>
      <w:pPr>
        <w:pStyle w:val="Normal"/>
        <w:rPr/>
      </w:pPr>
      <w:r>
        <w:rPr/>
      </w:r>
    </w:p>
    <w:p>
      <w:pPr>
        <w:pStyle w:val="Heading2"/>
        <w:ind w:hanging="0" w:start="0"/>
        <w:rPr/>
      </w:pPr>
      <w:r>
        <w:rPr/>
        <w:t>NEPOOL</w:t>
      </w:r>
    </w:p>
    <w:p>
      <w:pPr>
        <w:pStyle w:val="Normal"/>
        <w:rPr/>
      </w:pPr>
      <w:r>
        <w:rPr/>
      </w:r>
    </w:p>
    <w:p>
      <w:pPr>
        <w:pStyle w:val="Normal"/>
        <w:rPr/>
      </w:pPr>
      <w:r>
        <w:rPr/>
        <w:t>The second strategy is to get nepool to immediately set the deficiency rate as low as possible and to seek elimination of the icap requirement by year end in connection with a forward reserves proposal.  This can be done under the FERC decision as it stands, regardless of the outcome on rehearing.</w:t>
      </w:r>
    </w:p>
    <w:p>
      <w:pPr>
        <w:pStyle w:val="Normal"/>
        <w:rPr/>
      </w:pPr>
      <w:r>
        <w:rPr/>
        <w:t>A nepool proposal will require a 2/3 majority at a special meeting of the nepool participants committee scheduled for July 21, 2000 to meet the FERC’s july 28, 2000 compliance deadline.  We have begun shopping a proposal with participants to set the deficiency rate at the average 1999 clearing price ($.1677/kw-month) and to commit nepool to file a forward reserves proposal by November 1, 2000.  By year-end 2001 icap would be eliminated and the forward reserves mechanism would be in place.  In this way icap would go away at the end of next year and the iso would purchase call options for quick start resources to assure reliability, probably with some sort of self-supply option for participants.  Based on our lobbying to date we are close to getting 2/3 behind this, however, the vote is still too close to call based on undecided participants.  One critical vote will be UI who is concerned that voting for our proposal may subject them to the cost of forward reserves.  UI is amenable to giving us their vote in exchange for reassurances.</w:t>
      </w:r>
    </w:p>
    <w:p>
      <w:pPr>
        <w:pStyle w:val="Normal"/>
        <w:rPr/>
      </w:pPr>
      <w:r>
        <w:rPr/>
      </w:r>
    </w:p>
    <w:p>
      <w:pPr>
        <w:pStyle w:val="Heading2"/>
        <w:ind w:hanging="0" w:start="0"/>
        <w:rPr/>
      </w:pPr>
      <w:r>
        <w:rPr/>
        <w:t>ISO-New England</w:t>
      </w:r>
    </w:p>
    <w:p>
      <w:pPr>
        <w:pStyle w:val="Normal"/>
        <w:rPr>
          <w:u w:val="single"/>
        </w:rPr>
      </w:pPr>
      <w:r>
        <w:rPr>
          <w:u w:val="single"/>
        </w:rPr>
      </w:r>
    </w:p>
    <w:p>
      <w:pPr>
        <w:pStyle w:val="Normal"/>
        <w:rPr/>
      </w:pPr>
      <w:r>
        <w:rPr/>
        <w:t>The third strategy is to get the iso to endorse our nepool proposal.  The FERC order is inconsistent as to whether nepool or iso is required to make the compliance filing.  Moreover, whenever nepool fails to reach 2/3 the iso inevitably steps in and makes a filing.  By getting the iso to support our proposal we can hope to have them file it should we fall short at nepool.  Moreover, iso support will enhance our chances with both nepool and FERC.  In fact, ISO support is critical to an effective nepool strategy.</w:t>
      </w:r>
    </w:p>
    <w:p>
      <w:pPr>
        <w:pStyle w:val="Normal"/>
        <w:rPr/>
      </w:pPr>
      <w:r>
        <w:rPr/>
      </w:r>
    </w:p>
    <w:p>
      <w:pPr>
        <w:pStyle w:val="Normal"/>
        <w:rPr/>
      </w:pPr>
      <w:r>
        <w:rPr/>
        <w:t>Our proposal seems to be building iso support, however, Phil Pellegrino, the CEO, remains our largest skeptic.  We are not only lobbying the iso directly but are also encouraging others, especially state regulators, to lobby iso as well.  We are also attempting to get Pellegrino’s support through contacts with his board.  So far the regulatory community and certain board directors have been supportive and our efforts to sway Pellegrino continue.</w:t>
      </w:r>
    </w:p>
    <w:p>
      <w:pPr>
        <w:pStyle w:val="Normal"/>
        <w:rPr/>
      </w:pPr>
      <w:r>
        <w:rPr/>
      </w:r>
    </w:p>
    <w:p>
      <w:pPr>
        <w:pStyle w:val="Heading1"/>
        <w:tabs>
          <w:tab w:val="left" w:pos="540" w:leader="none"/>
        </w:tabs>
        <w:ind w:hanging="0" w:start="0"/>
        <w:rPr/>
      </w:pPr>
      <w:r>
        <w:rPr/>
        <w:t>NEXT STEPS</w:t>
      </w:r>
    </w:p>
    <w:p>
      <w:pPr>
        <w:pStyle w:val="Normal"/>
        <w:rPr>
          <w:b/>
        </w:rPr>
      </w:pPr>
      <w:r>
        <w:rPr>
          <w:b/>
        </w:rPr>
      </w:r>
    </w:p>
    <w:p>
      <w:pPr>
        <w:pStyle w:val="Normal"/>
        <w:numPr>
          <w:ilvl w:val="0"/>
          <w:numId w:val="2"/>
        </w:numPr>
        <w:rPr/>
      </w:pPr>
      <w:r>
        <w:rPr/>
        <w:t>Put an RCR in place.  Counsel has already begun work to round up the nepool votes and prepare for rehearing.  As soon as we receive budgets from counsel and our expert we can refine our RCR request.  In the meantime we should seek authorization to spend up to $50,000 given the value at risk and the press of time.  Constellation Power Source has been a powerful ally on this issue and is prepared to split costs with us.</w:t>
      </w:r>
    </w:p>
    <w:p>
      <w:pPr>
        <w:pStyle w:val="Normal"/>
        <w:rPr/>
      </w:pPr>
      <w:r>
        <w:rPr/>
      </w:r>
    </w:p>
    <w:p>
      <w:pPr>
        <w:pStyle w:val="Normal"/>
        <w:numPr>
          <w:ilvl w:val="0"/>
          <w:numId w:val="2"/>
        </w:numPr>
        <w:rPr/>
      </w:pPr>
      <w:r>
        <w:rPr/>
        <w:t>Continue lobbying efforts.  Dan Allegretti, Harvey Reed (Constellation) and Peter Brown (counsel) are all using direct contacts to build support for our proposal.  In addition we may need to tap a few of our traders to make some calls and seek out nepool support.</w:t>
      </w:r>
    </w:p>
    <w:p>
      <w:pPr>
        <w:pStyle w:val="Normal"/>
        <w:rPr/>
      </w:pPr>
      <w:r>
        <w:rPr/>
      </w:r>
    </w:p>
    <w:p>
      <w:pPr>
        <w:pStyle w:val="Normal"/>
        <w:numPr>
          <w:ilvl w:val="0"/>
          <w:numId w:val="2"/>
        </w:numPr>
        <w:rPr/>
      </w:pPr>
      <w:r>
        <w:rPr/>
        <w:t>Review rehearing.  Once we have a draft motion and testimony we will need to circulate them quickly for internal review by Joe and the traders.</w:t>
      </w:r>
    </w:p>
    <w:p>
      <w:pPr>
        <w:pStyle w:val="Normal"/>
        <w:rPr/>
      </w:pPr>
      <w:r>
        <w:rPr/>
      </w:r>
    </w:p>
    <w:p>
      <w:pPr>
        <w:pStyle w:val="Normal"/>
        <w:numPr>
          <w:ilvl w:val="0"/>
          <w:numId w:val="2"/>
        </w:numPr>
        <w:rPr/>
      </w:pPr>
      <w:r>
        <w:rPr/>
        <w:t>Political pressure.  We may want to consider political strategies for getting our message to FERC.</w:t>
      </w:r>
    </w:p>
    <w:p>
      <w:pPr>
        <w:pStyle w:val="Normal"/>
        <w:rPr/>
      </w:pPr>
      <w:r>
        <w:rPr/>
      </w:r>
    </w:p>
    <w:sectPr>
      <w:headerReference w:type="default" r:id="rId3"/>
      <w:headerReference w:type="first" r:id="rId4"/>
      <w:footerReference w:type="default" r:id="rId5"/>
      <w:footerReference w:type="first" r:id="rId6"/>
      <w:type w:val="nextPage"/>
      <w:pgSz w:w="12240" w:h="15840"/>
      <w:pgMar w:left="720" w:right="720"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r>
  </w:p>
  <w:p>
    <w:pPr>
      <w:pStyle w:val="Footer"/>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1530" w:leader="none"/>
        <w:tab w:val="left" w:pos="3780" w:leader="none"/>
        <w:tab w:val="left" w:pos="5940" w:leader="none"/>
        <w:tab w:val="left" w:pos="8640" w:leader="none"/>
      </w:tabs>
      <w:rPr>
        <w:sz w:val="16"/>
      </w:rPr>
    </w:pPr>
    <w:r>
      <w:rPr>
        <w:b/>
        <w:sz w:val="16"/>
      </w:rPr>
      <w:tab/>
      <w:t>Respect</w:t>
      <w:tab/>
      <w:t>Integrity</w:t>
      <w:tab/>
      <w:t>Communication</w:t>
      <w:tab/>
      <w:t>Excellence</w:t>
      <w:tab/>
    </w:r>
  </w:p>
  <w:p>
    <w:pPr>
      <w:pStyle w:val="Footer"/>
      <w:tabs>
        <w:tab w:val="clear" w:pos="4320"/>
        <w:tab w:val="left" w:pos="3780" w:leader="none"/>
        <w:tab w:val="center" w:pos="7560" w:leader="none"/>
        <w:tab w:val="right" w:pos="8640" w:leader="none"/>
        <w:tab w:val="right" w:pos="10800" w:leader="none"/>
      </w:tabs>
      <w:rPr>
        <w:sz w:val="16"/>
      </w:rPr>
    </w:pPr>
    <w:r>
      <w:rPr>
        <w:sz w:val="16"/>
      </w:rPr>
    </w:r>
  </w:p>
  <w:p>
    <w:pPr>
      <w:pStyle w:val="Footer"/>
      <w:tabs>
        <w:tab w:val="clear" w:pos="4320"/>
        <w:tab w:val="left" w:pos="3780" w:leader="none"/>
        <w:tab w:val="center" w:pos="7560" w:leader="none"/>
        <w:tab w:val="right" w:pos="8640" w:leader="none"/>
        <w:tab w:val="right" w:pos="10800" w:leader="none"/>
      </w:tabs>
      <w:rPr>
        <w:sz w:val="12"/>
      </w:rPr>
    </w:pPr>
    <w:r>
      <w:rPr>
        <w:sz w:val="12"/>
      </w:rPr>
      <w:t>Form 000-469-1 (7/92)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r>
      <w:rPr/>
      <w:fldChar w:fldCharType="begin"/>
    </w:r>
    <w:r>
      <w:rPr/>
      <w:instrText xml:space="preserve"> DATE \@"M/d/yyyy" </w:instrText>
    </w:r>
    <w:r>
      <w:rPr/>
      <w:fldChar w:fldCharType="separate"/>
    </w:r>
    <w:r>
      <w:rPr/>
      <w:t>9/28/2025</w:t>
    </w:r>
    <w:r>
      <w:rPr/>
      <w:fldChar w:fldCharType="end"/>
    </w:r>
    <w:r>
      <w:rPr/>
      <w:tab/>
      <w:t xml:space="preserve">Page </w:t>
    </w:r>
    <w:r>
      <w:rPr/>
      <w:fldChar w:fldCharType="begin"/>
    </w:r>
    <w:r>
      <w:rPr/>
      <w:instrText xml:space="preserve"> PAGE </w:instrText>
    </w:r>
    <w:r>
      <w:rPr/>
      <w:fldChar w:fldCharType="separate"/>
    </w:r>
    <w:r>
      <w:rPr/>
      <w:t>3</w:t>
    </w:r>
    <w:r>
      <w:rPr/>
      <w:fldChar w:fldCharType="end"/>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-361315</wp:posOffset>
              </wp:positionV>
              <wp:extent cx="3877310" cy="704850"/>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704850"/>
                      </a:xfrm>
                      <a:prstGeom prst="rect"/>
                      <a:solidFill>
                        <a:srgbClr val="FFFFFF">
                          <a:alpha val="0"/>
                        </a:srgbClr>
                      </a:solidFill>
                    </wps:spPr>
                    <wps:txbx>
                      <w:txbxContent>
                        <w:p>
                          <w:pPr>
                            <w:pStyle w:val="Normal"/>
                            <w:ind w:start="3600" w:end="0"/>
                            <w:rPr>
                              <w:b/>
                              <w:sz w:val="32"/>
                            </w:rPr>
                          </w:pPr>
                          <w:r>
                            <w:rPr>
                              <w:b/>
                              <w:sz w:val="32"/>
                            </w:rPr>
                          </w:r>
                        </w:p>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5.5pt;mso-wrap-distance-left:9.35pt;mso-wrap-distance-right:9.35pt;mso-wrap-distance-top:0pt;mso-wrap-distance-bottom:0pt;margin-top:-28.45pt;mso-position-vertical-relative:text;margin-left:201.3pt;mso-position-horizontal-relative:page">
              <v:fill opacity="0f"/>
              <v:textbox inset="0in,0in,0in,0in">
                <w:txbxContent>
                  <w:p>
                    <w:pPr>
                      <w:pStyle w:val="Normal"/>
                      <w:ind w:start="3600" w:end="0"/>
                      <w:rPr>
                        <w:b/>
                        <w:sz w:val="32"/>
                      </w:rPr>
                    </w:pPr>
                    <w:r>
                      <w:rPr>
                        <w:b/>
                        <w:sz w:val="32"/>
                      </w:rPr>
                    </w:r>
                  </w:p>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eastAsia="zh-CN" w:bidi="hi-IN"/>
    </w:rPr>
  </w:style>
  <w:style w:type="paragraph" w:styleId="Heading1">
    <w:name w:val="heading 1"/>
    <w:basedOn w:val="Normal"/>
    <w:next w:val="Normal"/>
    <w:qFormat/>
    <w:pPr>
      <w:keepNext w:val="true"/>
      <w:numPr>
        <w:ilvl w:val="0"/>
        <w:numId w:val="1"/>
      </w:numPr>
      <w:tabs>
        <w:tab w:val="clear" w:pos="540"/>
      </w:tabs>
      <w:outlineLvl w:val="0"/>
    </w:pPr>
    <w:rPr>
      <w:b/>
    </w:rPr>
  </w:style>
  <w:style w:type="paragraph" w:styleId="Heading2">
    <w:name w:val="heading 2"/>
    <w:basedOn w:val="Normal"/>
    <w:next w:val="Normal"/>
    <w:qFormat/>
    <w:pPr>
      <w:keepNext w:val="true"/>
      <w:numPr>
        <w:ilvl w:val="1"/>
        <w:numId w:val="1"/>
      </w:numPr>
      <w:outlineLvl w:val="1"/>
    </w:pPr>
    <w:rPr>
      <w:u w:val="single"/>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sz w:val="20"/>
    </w:rPr>
  </w:style>
  <w:style w:type="paragraph" w:styleId="Body">
    <w:name w:val="Body"/>
    <w:basedOn w:val="Normal"/>
    <w:qFormat/>
    <w:pPr>
      <w:tabs>
        <w:tab w:val="clear" w:pos="540"/>
      </w:tabs>
      <w:ind w:hanging="0" w:start="72" w:end="0"/>
    </w:pPr>
    <w:rPr>
      <w:color w:val="000080"/>
      <w:sz w:val="20"/>
    </w:rPr>
  </w:style>
  <w:style w:type="paragraph" w:styleId="Department">
    <w:name w:val="Department"/>
    <w:basedOn w:val="Normal"/>
    <w:qFormat/>
    <w:pPr>
      <w:tabs>
        <w:tab w:val="clear" w:pos="540"/>
      </w:tabs>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EESmemo</Template>
  <TotalTime>138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2000-06-28T18:22:00Z</dcterms:created>
  <dc:creator>ees</dc:creator>
  <dc:description/>
  <dc:language>en-CA</dc:language>
  <cp:lastModifiedBy>dallegr</cp:lastModifiedBy>
  <cp:lastPrinted>2000-06-28T16:56:00Z</cp:lastPrinted>
  <dcterms:modified xsi:type="dcterms:W3CDTF">2000-07-12T00:11:00Z</dcterms:modified>
  <cp:revision>8</cp:revision>
  <dc:subject/>
  <dc:title>Eron Capital &amp; Trade Resources Memo</dc:title>
</cp:coreProperties>
</file>