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Date:</w:t>
        <w:tab/>
        <w:t>April 2001</w:t>
      </w:r>
    </w:p>
    <w:p>
      <w:pPr>
        <w:pStyle w:val="Normal"/>
        <w:rPr>
          <w:rFonts w:ascii="Arial" w:hAnsi="Arial" w:cs="Arial"/>
          <w:sz w:val="20"/>
        </w:rPr>
      </w:pPr>
      <w:r>
        <w:rPr>
          <w:rFonts w:cs="Arial" w:ascii="Arial" w:hAnsi="Arial"/>
          <w:sz w:val="20"/>
        </w:rPr>
        <w:t>From:</w:t>
        <w:tab/>
        <w:t>iBuyit@enron.com</w:t>
      </w:r>
    </w:p>
    <w:p>
      <w:pPr>
        <w:pStyle w:val="Normal"/>
        <w:rPr>
          <w:rFonts w:ascii="Arial" w:hAnsi="Arial" w:cs="Arial"/>
          <w:sz w:val="20"/>
        </w:rPr>
      </w:pPr>
      <w:r>
        <w:rPr>
          <w:rFonts w:cs="Arial" w:ascii="Arial" w:hAnsi="Arial"/>
          <w:sz w:val="20"/>
        </w:rPr>
        <w:t>To:</w:t>
        <w:tab/>
        <w:t>All Enron Employees in the United States</w:t>
      </w:r>
    </w:p>
    <w:p>
      <w:pPr>
        <w:pStyle w:val="EnvelopeReturn"/>
        <w:rPr/>
      </w:pPr>
      <w:r>
        <w:rPr/>
        <w:t>Subject:</w:t>
        <w:tab/>
        <w:t>Important iBuyit Payables Training Information</w:t>
      </w:r>
    </w:p>
    <w:p>
      <w:pPr>
        <w:pStyle w:val="Normal"/>
        <w:rPr>
          <w:rFonts w:ascii="Arial" w:hAnsi="Arial" w:cs="Arial"/>
          <w:sz w:val="20"/>
        </w:rPr>
      </w:pPr>
      <w:r>
        <w:rPr>
          <w:rFonts w:cs="Arial" w:ascii="Arial" w:hAnsi="Arial"/>
          <w:sz w:val="20"/>
        </w:rPr>
      </w:r>
    </w:p>
    <w:p>
      <w:pPr>
        <w:pStyle w:val="BodyText2"/>
        <w:rPr>
          <w:sz w:val="20"/>
        </w:rPr>
      </w:pPr>
      <w:r>
        <w:rPr>
          <w:sz w:val="20"/>
        </w:rPr>
        <w:t xml:space="preserve">This Information Applies ONLY to Organizations Supported by Houston-based Accounts Payable Processing Centers </w:t>
      </w:r>
    </w:p>
    <w:p>
      <w:pPr>
        <w:pStyle w:val="BodyText2"/>
        <w:rPr>
          <w:sz w:val="12"/>
        </w:rPr>
      </w:pPr>
      <w:r>
        <w:rPr>
          <w:sz w:val="12"/>
        </w:rPr>
      </w:r>
    </w:p>
    <w:p>
      <w:pPr>
        <w:pStyle w:val="BodyText3"/>
        <w:rPr/>
      </w:pPr>
      <w:r>
        <w:rPr/>
        <w:t>On May 1st, the new iBuyit Payables system will be activated for all organizations supported by the Houston-based Accounts Payable Department.  It is very important to the project team that we provide you with the knowledge and skills that you need to successfully use the new system, so we are offering a number of training options:</w:t>
      </w:r>
    </w:p>
    <w:p>
      <w:pPr>
        <w:pStyle w:val="BodyText3"/>
        <w:rPr/>
      </w:pPr>
      <w:r>
        <w:rPr/>
      </w:r>
    </w:p>
    <w:p>
      <w:pPr>
        <w:pStyle w:val="Heading5"/>
        <w:ind w:hanging="0" w:start="0"/>
        <w:jc w:val="center"/>
        <w:rPr/>
      </w:pPr>
      <w:r>
        <w:rPr/>
        <w:t>Option 1: iBuyit Payables OVERVIEW Training Sessions</w:t>
      </w:r>
    </w:p>
    <w:p>
      <w:pPr>
        <w:pStyle w:val="Normal"/>
        <w:rPr/>
      </w:pPr>
      <w:r>
        <w:rPr/>
      </w:r>
    </w:p>
    <w:p>
      <w:pPr>
        <w:pStyle w:val="Normal"/>
        <w:rPr/>
      </w:pPr>
      <w:r>
        <w:rPr>
          <w:rFonts w:cs="Arial" w:ascii="Arial" w:hAnsi="Arial"/>
          <w:b/>
          <w:i/>
          <w:sz w:val="20"/>
        </w:rPr>
        <w:t xml:space="preserve">What?  </w:t>
      </w:r>
      <w:r>
        <w:rPr>
          <w:rFonts w:cs="Arial" w:ascii="Arial" w:hAnsi="Arial"/>
          <w:sz w:val="20"/>
        </w:rPr>
        <w:t>Wonder where the hours in the day go?  Then this quick, first come, first serve, one hour information session is for you!  You will view a demonstration of the iBuyit Payables system and receive step-by-step instruction materials</w:t>
      </w:r>
      <w:r>
        <w:rPr>
          <w:rFonts w:cs="Arial" w:ascii="Arial" w:hAnsi="Arial"/>
          <w:i/>
          <w:color w:val="0000FF"/>
          <w:sz w:val="20"/>
        </w:rPr>
        <w:t xml:space="preserve">.  </w:t>
      </w:r>
      <w:r>
        <w:rPr>
          <w:rFonts w:cs="Arial" w:ascii="Arial" w:hAnsi="Arial"/>
          <w:b/>
          <w:i/>
          <w:sz w:val="20"/>
        </w:rPr>
        <w:t>In addition, all participants will be eligible for a $50 shopping spree!</w:t>
      </w:r>
      <w:r>
        <w:rPr>
          <w:rFonts w:cs="Arial" w:ascii="Arial" w:hAnsi="Arial"/>
          <w:sz w:val="20"/>
        </w:rPr>
        <w:t xml:space="preserve">  If you’re still hungry for more training, you will have an opportunity to sign-up for hands on system training. </w:t>
      </w:r>
    </w:p>
    <w:p>
      <w:pPr>
        <w:pStyle w:val="Normal"/>
        <w:rPr>
          <w:rFonts w:ascii="Arial" w:hAnsi="Arial" w:cs="Arial"/>
          <w:sz w:val="12"/>
        </w:rPr>
      </w:pPr>
      <w:r>
        <w:rPr>
          <w:rFonts w:cs="Arial" w:ascii="Arial" w:hAnsi="Arial"/>
          <w:sz w:val="12"/>
        </w:rPr>
      </w:r>
    </w:p>
    <w:p>
      <w:pPr>
        <w:pStyle w:val="Normal"/>
        <w:rPr/>
      </w:pPr>
      <w:r>
        <w:rPr>
          <w:rFonts w:cs="Arial" w:ascii="Arial" w:hAnsi="Arial"/>
          <w:b/>
          <w:i/>
          <w:sz w:val="20"/>
        </w:rPr>
        <w:t xml:space="preserve">Who Should Attend?  </w:t>
      </w:r>
      <w:r>
        <w:rPr>
          <w:rFonts w:cs="Arial" w:ascii="Arial" w:hAnsi="Arial"/>
          <w:sz w:val="20"/>
        </w:rPr>
        <w:t xml:space="preserve">If you are Houston-based and responsible for the </w:t>
      </w:r>
      <w:r>
        <w:rPr>
          <w:rFonts w:cs="Arial" w:ascii="Arial" w:hAnsi="Arial"/>
          <w:i/>
          <w:sz w:val="20"/>
        </w:rPr>
        <w:t>coding and issue resolution of invoices</w:t>
      </w:r>
      <w:r>
        <w:rPr>
          <w:rFonts w:cs="Arial" w:ascii="Arial" w:hAnsi="Arial"/>
          <w:sz w:val="20"/>
        </w:rPr>
        <w:t xml:space="preserve">, you are encouraged to attend.  If you are Houston-based and responsible for </w:t>
      </w:r>
      <w:r>
        <w:rPr>
          <w:rFonts w:cs="Arial" w:ascii="Arial" w:hAnsi="Arial"/>
          <w:i/>
          <w:sz w:val="20"/>
        </w:rPr>
        <w:t>the approval of invoices only</w:t>
      </w:r>
      <w:r>
        <w:rPr>
          <w:rFonts w:cs="Arial" w:ascii="Arial" w:hAnsi="Arial"/>
          <w:sz w:val="20"/>
        </w:rPr>
        <w:t xml:space="preserve">, you are welcome to attend, but on-line training materials for invoice approvers will be available.  </w:t>
      </w:r>
    </w:p>
    <w:p>
      <w:pPr>
        <w:pStyle w:val="Normal"/>
        <w:rPr>
          <w:rFonts w:ascii="Arial" w:hAnsi="Arial" w:cs="Arial"/>
          <w:b/>
          <w:color w:val="0000FF"/>
          <w:sz w:val="20"/>
        </w:rPr>
      </w:pPr>
      <w:r>
        <w:rPr>
          <w:rFonts w:cs="Arial" w:ascii="Arial" w:hAnsi="Arial"/>
          <w:b/>
          <w:color w:val="0000FF"/>
          <w:sz w:val="20"/>
        </w:rPr>
      </w:r>
    </w:p>
    <w:p>
      <w:pPr>
        <w:pStyle w:val="Normal"/>
        <w:rPr/>
      </w:pPr>
      <w:r>
        <w:rPr/>
        <w:t>When and Where?</w:t>
      </w:r>
    </w:p>
    <w:tbl>
      <w:tblPr>
        <w:tblW w:w="9000" w:type="dxa"/>
        <w:jc w:val="start"/>
        <w:tblInd w:w="198" w:type="dxa"/>
        <w:tblLayout w:type="fixed"/>
        <w:tblCellMar>
          <w:top w:w="0" w:type="dxa"/>
          <w:start w:w="108" w:type="dxa"/>
          <w:bottom w:w="0" w:type="dxa"/>
          <w:end w:w="108" w:type="dxa"/>
        </w:tblCellMar>
      </w:tblPr>
      <w:tblGrid>
        <w:gridCol w:w="2160"/>
        <w:gridCol w:w="3240"/>
        <w:gridCol w:w="3600"/>
      </w:tblGrid>
      <w:tr>
        <w:trPr>
          <w:trHeight w:val="160" w:hRule="atLeast"/>
        </w:trPr>
        <w:tc>
          <w:tcPr>
            <w:tcW w:w="216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rFonts w:ascii="Arial" w:hAnsi="Arial" w:cs="Arial"/>
                <w:b/>
                <w:sz w:val="20"/>
              </w:rPr>
            </w:pPr>
            <w:r>
              <w:rPr>
                <w:rFonts w:cs="Arial" w:ascii="Arial" w:hAnsi="Arial"/>
                <w:b/>
                <w:sz w:val="20"/>
              </w:rPr>
              <w:t>Date</w:t>
            </w:r>
          </w:p>
        </w:tc>
        <w:tc>
          <w:tcPr>
            <w:tcW w:w="324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rFonts w:ascii="Arial" w:hAnsi="Arial" w:cs="Arial"/>
                <w:b/>
                <w:sz w:val="20"/>
              </w:rPr>
            </w:pPr>
            <w:r>
              <w:rPr>
                <w:rFonts w:cs="Arial" w:ascii="Arial" w:hAnsi="Arial"/>
                <w:b/>
                <w:sz w:val="20"/>
              </w:rPr>
              <w:t>Location</w:t>
            </w:r>
          </w:p>
        </w:tc>
        <w:tc>
          <w:tcPr>
            <w:tcW w:w="3600" w:type="dxa"/>
            <w:tcBorders>
              <w:top w:val="single" w:sz="4" w:space="0" w:color="000000"/>
              <w:start w:val="single" w:sz="4" w:space="0" w:color="000000"/>
              <w:bottom w:val="single" w:sz="4" w:space="0" w:color="000000"/>
              <w:end w:val="single" w:sz="4" w:space="0" w:color="000000"/>
            </w:tcBorders>
            <w:shd w:fill="D8D8D8" w:val="clear"/>
          </w:tcPr>
          <w:p>
            <w:pPr>
              <w:pStyle w:val="Normal"/>
              <w:jc w:val="center"/>
              <w:rPr>
                <w:rFonts w:ascii="Arial" w:hAnsi="Arial" w:cs="Arial"/>
                <w:b/>
                <w:sz w:val="20"/>
              </w:rPr>
            </w:pPr>
            <w:r>
              <w:rPr>
                <w:rFonts w:cs="Arial" w:ascii="Arial" w:hAnsi="Arial"/>
                <w:b/>
                <w:sz w:val="20"/>
              </w:rPr>
              <w:t>Time</w:t>
            </w:r>
          </w:p>
        </w:tc>
      </w:tr>
      <w:tr>
        <w:trPr>
          <w:trHeight w:val="160"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April 16,17, 18, &amp; 19</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Doubletree Hotel, Nautile room</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9:00-10:00 AM &amp; 2:00-3:00 PM Daily</w:t>
            </w:r>
          </w:p>
        </w:tc>
      </w:tr>
      <w:tr>
        <w:trPr>
          <w:trHeight w:val="160"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April 25</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Arial" w:ascii="Arial" w:hAnsi="Arial"/>
                <w:sz w:val="20"/>
              </w:rPr>
              <w:t>Forum, 2 Allen Center,12</w:t>
            </w:r>
            <w:r>
              <w:rPr>
                <w:rFonts w:cs="Arial" w:ascii="Arial" w:hAnsi="Arial"/>
                <w:sz w:val="20"/>
                <w:vertAlign w:val="superscript"/>
              </w:rPr>
              <w:t>th</w:t>
            </w:r>
            <w:r>
              <w:rPr>
                <w:rFonts w:cs="Arial" w:ascii="Arial" w:hAnsi="Arial"/>
                <w:sz w:val="20"/>
              </w:rPr>
              <w:t xml:space="preserve"> Floor</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9:00-10:00 AM &amp; 11:00 AM-12:00 PM </w:t>
            </w:r>
          </w:p>
        </w:tc>
      </w:tr>
      <w:tr>
        <w:trPr>
          <w:trHeight w:val="160"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May 2</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Arial" w:ascii="Arial" w:hAnsi="Arial"/>
                <w:sz w:val="20"/>
              </w:rPr>
              <w:t>Forum, 2 Allen Center,12</w:t>
            </w:r>
            <w:r>
              <w:rPr>
                <w:rFonts w:cs="Arial" w:ascii="Arial" w:hAnsi="Arial"/>
                <w:sz w:val="20"/>
                <w:vertAlign w:val="superscript"/>
              </w:rPr>
              <w:t>th</w:t>
            </w:r>
            <w:r>
              <w:rPr>
                <w:rFonts w:cs="Arial" w:ascii="Arial" w:hAnsi="Arial"/>
                <w:sz w:val="20"/>
              </w:rPr>
              <w:t xml:space="preserve"> Floor</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2:00–3:00 PM &amp; 3:30-4:30 PM</w:t>
            </w:r>
          </w:p>
        </w:tc>
      </w:tr>
      <w:tr>
        <w:trPr>
          <w:trHeight w:val="160"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May 9</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Arial" w:ascii="Arial" w:hAnsi="Arial"/>
                <w:sz w:val="20"/>
              </w:rPr>
              <w:t>Forum, 2 Allen Center,12</w:t>
            </w:r>
            <w:r>
              <w:rPr>
                <w:rFonts w:cs="Arial" w:ascii="Arial" w:hAnsi="Arial"/>
                <w:sz w:val="20"/>
                <w:vertAlign w:val="superscript"/>
              </w:rPr>
              <w:t>th</w:t>
            </w:r>
            <w:r>
              <w:rPr>
                <w:rFonts w:cs="Arial" w:ascii="Arial" w:hAnsi="Arial"/>
                <w:sz w:val="20"/>
              </w:rPr>
              <w:t xml:space="preserve"> Floor</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9:00–10:00 AM &amp; 11:00–12:00 PM</w:t>
            </w:r>
          </w:p>
        </w:tc>
      </w:tr>
    </w:tbl>
    <w:p>
      <w:pPr>
        <w:pStyle w:val="Normal"/>
        <w:rPr>
          <w:rFonts w:ascii="Arial" w:hAnsi="Arial" w:cs="Arial"/>
          <w:b/>
          <w:color w:val="0000FF"/>
          <w:sz w:val="20"/>
        </w:rPr>
      </w:pPr>
      <w:r>
        <w:rPr>
          <w:rFonts w:cs="Arial" w:ascii="Arial" w:hAnsi="Arial"/>
          <w:b/>
          <w:color w:val="0000FF"/>
          <w:sz w:val="20"/>
        </w:rPr>
      </w:r>
    </w:p>
    <w:p>
      <w:pPr>
        <w:pStyle w:val="Heading4"/>
        <w:ind w:hanging="0" w:start="0"/>
        <w:rPr/>
      </w:pPr>
      <w:r>
        <w:rPr/>
        <w:t>Option 2: iBuyit Payables CLASSROOM SYSTEM TRAINING Sessions</w:t>
      </w:r>
    </w:p>
    <w:p>
      <w:pPr>
        <w:pStyle w:val="Normal"/>
        <w:rPr/>
      </w:pPr>
      <w:r>
        <w:rPr/>
      </w:r>
    </w:p>
    <w:p>
      <w:pPr>
        <w:pStyle w:val="Normal"/>
        <w:rPr>
          <w:rFonts w:ascii="Arial" w:hAnsi="Arial" w:cs="Arial"/>
          <w:sz w:val="20"/>
        </w:rPr>
      </w:pPr>
      <w:r>
        <w:rPr>
          <w:rFonts w:cs="Arial" w:ascii="Arial" w:hAnsi="Arial"/>
          <w:b/>
          <w:i/>
          <w:sz w:val="20"/>
        </w:rPr>
        <w:t>What?</w:t>
      </w:r>
      <w:r>
        <w:rPr>
          <w:rFonts w:cs="Arial" w:ascii="Arial" w:hAnsi="Arial"/>
          <w:b/>
          <w:sz w:val="20"/>
        </w:rPr>
        <w:t xml:space="preserve">  </w:t>
      </w:r>
      <w:r>
        <w:rPr>
          <w:rFonts w:cs="Arial" w:ascii="Arial" w:hAnsi="Arial"/>
          <w:sz w:val="20"/>
        </w:rPr>
        <w:t>Do you prefer hands on system training?  Then be sure to register for classroom system training!  You will have the opportunity to complete real life payables exercises in the iBuyit Payables system and receive step-by-step instruction materials</w:t>
      </w:r>
      <w:r>
        <w:rPr>
          <w:rFonts w:cs="Arial" w:ascii="Arial" w:hAnsi="Arial"/>
          <w:i/>
          <w:color w:val="0000FF"/>
          <w:sz w:val="20"/>
        </w:rPr>
        <w:t>.</w:t>
      </w:r>
    </w:p>
    <w:p>
      <w:pPr>
        <w:pStyle w:val="Normal"/>
        <w:rPr>
          <w:rFonts w:ascii="Arial" w:hAnsi="Arial" w:cs="Arial"/>
          <w:sz w:val="20"/>
        </w:rPr>
      </w:pPr>
      <w:r>
        <w:rPr>
          <w:rFonts w:cs="Arial" w:ascii="Arial" w:hAnsi="Arial"/>
          <w:sz w:val="20"/>
        </w:rPr>
      </w:r>
    </w:p>
    <w:p>
      <w:pPr>
        <w:pStyle w:val="Normal"/>
        <w:rPr/>
      </w:pPr>
      <w:r>
        <w:rPr>
          <w:rFonts w:cs="Arial" w:ascii="Arial" w:hAnsi="Arial"/>
          <w:b/>
          <w:i/>
          <w:sz w:val="20"/>
        </w:rPr>
        <w:t xml:space="preserve">Who Should Attend?  </w:t>
      </w:r>
      <w:r>
        <w:rPr>
          <w:rFonts w:cs="Arial" w:ascii="Arial" w:hAnsi="Arial"/>
          <w:sz w:val="20"/>
        </w:rPr>
        <w:t xml:space="preserve">If you are Houston-based and responsible for the </w:t>
      </w:r>
      <w:r>
        <w:rPr>
          <w:rFonts w:cs="Arial" w:ascii="Arial" w:hAnsi="Arial"/>
          <w:i/>
          <w:sz w:val="20"/>
        </w:rPr>
        <w:t>coding and issue resolution of invoices</w:t>
      </w:r>
      <w:r>
        <w:rPr>
          <w:rFonts w:cs="Arial" w:ascii="Arial" w:hAnsi="Arial"/>
          <w:sz w:val="20"/>
        </w:rPr>
        <w:t xml:space="preserve">, you are encouraged to attend.  If you are Houston-based and responsible for </w:t>
      </w:r>
      <w:r>
        <w:rPr>
          <w:rFonts w:cs="Arial" w:ascii="Arial" w:hAnsi="Arial"/>
          <w:i/>
          <w:sz w:val="20"/>
        </w:rPr>
        <w:t>the</w:t>
      </w:r>
      <w:r>
        <w:rPr>
          <w:rFonts w:cs="Arial" w:ascii="Arial" w:hAnsi="Arial"/>
          <w:sz w:val="20"/>
        </w:rPr>
        <w:t xml:space="preserve"> </w:t>
      </w:r>
      <w:r>
        <w:rPr>
          <w:rFonts w:cs="Arial" w:ascii="Arial" w:hAnsi="Arial"/>
          <w:i/>
          <w:sz w:val="20"/>
        </w:rPr>
        <w:t>approval of invoices only</w:t>
      </w:r>
      <w:r>
        <w:rPr>
          <w:rFonts w:cs="Arial" w:ascii="Arial" w:hAnsi="Arial"/>
          <w:sz w:val="20"/>
        </w:rPr>
        <w:t>, you are welcome to attend, but on-line training materials for Approvers will be available.</w:t>
      </w:r>
    </w:p>
    <w:p>
      <w:pPr>
        <w:pStyle w:val="Normal"/>
        <w:rPr>
          <w:rFonts w:ascii="Arial" w:hAnsi="Arial" w:cs="Arial"/>
          <w:sz w:val="20"/>
        </w:rPr>
      </w:pPr>
      <w:r>
        <w:rPr>
          <w:rFonts w:cs="Arial" w:ascii="Arial" w:hAnsi="Arial"/>
          <w:sz w:val="20"/>
        </w:rPr>
      </w:r>
      <w:r>
        <w:br w:type="page"/>
      </w:r>
    </w:p>
    <w:p>
      <w:pPr>
        <w:pStyle w:val="Normal"/>
        <w:rPr/>
      </w:pPr>
      <w:r>
        <w:rPr/>
        <w:t>When and Where?</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536"/>
                <w:tab w:val="clear" w:pos="9072"/>
                <w:tab w:val="left" w:pos="1134" w:leader="none"/>
              </w:tabs>
              <w:jc w:val="center"/>
              <w:rPr>
                <w:rFonts w:ascii="Arial" w:hAnsi="Arial" w:cs="Arial"/>
                <w:b/>
                <w:sz w:val="20"/>
              </w:rPr>
            </w:pPr>
            <w:r>
              <w:rPr>
                <w:rFonts w:cs="Arial" w:ascii="Arial" w:hAnsi="Arial"/>
                <w:b/>
                <w:sz w:val="20"/>
              </w:rPr>
              <w:t>Date</w:t>
            </w:r>
          </w:p>
        </w:tc>
        <w:tc>
          <w:tcPr>
            <w:tcW w:w="3192"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536"/>
                <w:tab w:val="clear" w:pos="9072"/>
                <w:tab w:val="left" w:pos="1134" w:leader="none"/>
              </w:tabs>
              <w:jc w:val="center"/>
              <w:rPr>
                <w:rFonts w:ascii="Arial" w:hAnsi="Arial" w:cs="Arial"/>
                <w:b/>
                <w:sz w:val="20"/>
              </w:rPr>
            </w:pPr>
            <w:r>
              <w:rPr>
                <w:rFonts w:cs="Arial" w:ascii="Arial" w:hAnsi="Arial"/>
                <w:b/>
                <w:sz w:val="20"/>
              </w:rPr>
              <w:t>Location</w:t>
            </w:r>
          </w:p>
        </w:tc>
        <w:tc>
          <w:tcPr>
            <w:tcW w:w="3192"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536"/>
                <w:tab w:val="clear" w:pos="9072"/>
                <w:tab w:val="left" w:pos="1134" w:leader="none"/>
              </w:tabs>
              <w:jc w:val="center"/>
              <w:rPr>
                <w:rFonts w:ascii="Arial" w:hAnsi="Arial" w:cs="Arial"/>
                <w:b/>
                <w:sz w:val="20"/>
              </w:rPr>
            </w:pPr>
            <w:r>
              <w:rPr>
                <w:rFonts w:cs="Arial" w:ascii="Arial" w:hAnsi="Arial"/>
                <w:b/>
                <w:sz w:val="20"/>
              </w:rPr>
              <w:t>Time</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 w:val="left" w:pos="1134" w:leader="none"/>
              </w:tabs>
              <w:jc w:val="center"/>
              <w:rPr>
                <w:rFonts w:ascii="Arial" w:hAnsi="Arial" w:cs="Arial"/>
                <w:sz w:val="20"/>
              </w:rPr>
            </w:pPr>
            <w:r>
              <w:rPr>
                <w:rFonts w:cs="Arial" w:ascii="Arial" w:hAnsi="Arial"/>
                <w:sz w:val="20"/>
              </w:rPr>
              <w:t>April 23  - May 12</w:t>
            </w:r>
          </w:p>
        </w:tc>
        <w:tc>
          <w:tcPr>
            <w:tcW w:w="3192"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 w:val="left" w:pos="1134" w:leader="none"/>
              </w:tabs>
              <w:jc w:val="center"/>
              <w:rPr/>
            </w:pPr>
            <w:r>
              <w:rPr>
                <w:rFonts w:cs="Arial" w:ascii="Arial" w:hAnsi="Arial"/>
                <w:sz w:val="20"/>
              </w:rPr>
              <w:t>12C5, 2 Allen Center, 12</w:t>
            </w:r>
            <w:r>
              <w:rPr>
                <w:rFonts w:cs="Arial" w:ascii="Arial" w:hAnsi="Arial"/>
                <w:sz w:val="20"/>
                <w:vertAlign w:val="superscript"/>
              </w:rPr>
              <w:t>th</w:t>
            </w:r>
            <w:r>
              <w:rPr>
                <w:rFonts w:cs="Arial" w:ascii="Arial" w:hAnsi="Arial"/>
                <w:sz w:val="20"/>
              </w:rPr>
              <w:t xml:space="preserve"> floor</w:t>
            </w:r>
          </w:p>
        </w:tc>
        <w:tc>
          <w:tcPr>
            <w:tcW w:w="3192" w:type="dxa"/>
            <w:tcBorders>
              <w:top w:val="single" w:sz="4" w:space="0" w:color="000000"/>
              <w:start w:val="single" w:sz="4" w:space="0" w:color="000000"/>
              <w:bottom w:val="single" w:sz="4" w:space="0" w:color="000000"/>
              <w:end w:val="single" w:sz="4" w:space="0" w:color="000000"/>
            </w:tcBorders>
          </w:tcPr>
          <w:p>
            <w:pPr>
              <w:pStyle w:val="Header"/>
              <w:tabs>
                <w:tab w:val="clear" w:pos="4536"/>
                <w:tab w:val="clear" w:pos="9072"/>
                <w:tab w:val="left" w:pos="1134" w:leader="none"/>
              </w:tabs>
              <w:jc w:val="center"/>
              <w:rPr>
                <w:rFonts w:ascii="Arial" w:hAnsi="Arial" w:cs="Arial"/>
                <w:sz w:val="20"/>
              </w:rPr>
            </w:pPr>
            <w:r>
              <w:rPr>
                <w:rFonts w:cs="Arial" w:ascii="Arial" w:hAnsi="Arial"/>
                <w:sz w:val="20"/>
              </w:rPr>
              <w:t>9:00 AM – 12:00 PM Noon</w:t>
            </w:r>
          </w:p>
          <w:p>
            <w:pPr>
              <w:pStyle w:val="Header"/>
              <w:tabs>
                <w:tab w:val="clear" w:pos="4536"/>
                <w:tab w:val="clear" w:pos="9072"/>
                <w:tab w:val="left" w:pos="1134" w:leader="none"/>
              </w:tabs>
              <w:jc w:val="center"/>
              <w:rPr>
                <w:rFonts w:ascii="Arial" w:hAnsi="Arial" w:cs="Arial"/>
                <w:sz w:val="20"/>
              </w:rPr>
            </w:pPr>
            <w:r>
              <w:rPr>
                <w:rFonts w:cs="Arial" w:ascii="Arial" w:hAnsi="Arial"/>
                <w:sz w:val="20"/>
              </w:rPr>
              <w:t>1</w:t>
            </w:r>
            <w:r>
              <w:rPr>
                <w:rFonts w:cs="Arial" w:ascii="Arial" w:hAnsi="Arial"/>
                <w:sz w:val="20"/>
                <w:lang w:val="en-CA"/>
              </w:rPr>
              <w:t>:00 PM – 4:00 PM</w:t>
            </w:r>
          </w:p>
        </w:tc>
      </w:tr>
    </w:tbl>
    <w:p>
      <w:pPr>
        <w:pStyle w:val="Normal"/>
        <w:rPr>
          <w:rFonts w:ascii="Arial" w:hAnsi="Arial" w:cs="Arial"/>
          <w:sz w:val="20"/>
        </w:rPr>
      </w:pPr>
      <w:r>
        <w:rPr>
          <w:rFonts w:cs="Arial" w:ascii="Arial" w:hAnsi="Arial"/>
          <w:sz w:val="20"/>
        </w:rPr>
        <w:t>Note: On 4/25, class will only be held in the afternoon.  On 5/2, class will only be held in the morning.  On 5/9, class will only be held in the afternoon.</w:t>
      </w:r>
    </w:p>
    <w:p>
      <w:pPr>
        <w:pStyle w:val="Normal"/>
        <w:rPr>
          <w:rFonts w:ascii="Arial" w:hAnsi="Arial" w:cs="Arial"/>
          <w:sz w:val="20"/>
        </w:rPr>
      </w:pPr>
      <w:r>
        <w:rPr>
          <w:rFonts w:cs="Arial" w:ascii="Arial" w:hAnsi="Arial"/>
          <w:sz w:val="20"/>
        </w:rPr>
      </w:r>
    </w:p>
    <w:p>
      <w:pPr>
        <w:pStyle w:val="Normal"/>
        <w:rPr/>
      </w:pPr>
      <w:r>
        <w:rPr>
          <w:rFonts w:cs="Arial" w:ascii="Arial" w:hAnsi="Arial"/>
          <w:b/>
          <w:i/>
          <w:sz w:val="20"/>
        </w:rPr>
        <w:t>How Do I Register for Classroom System Training?</w:t>
      </w:r>
      <w:r>
        <w:rPr>
          <w:rFonts w:cs="Arial" w:ascii="Arial" w:hAnsi="Arial"/>
          <w:sz w:val="20"/>
        </w:rPr>
        <w:t xml:space="preserve">  To register for the classroom training, send an e-mail to </w:t>
      </w:r>
      <w:hyperlink r:id="rId2">
        <w:r>
          <w:rPr>
            <w:rStyle w:val="Hyperlink"/>
            <w:rFonts w:cs="Arial" w:ascii="Arial" w:hAnsi="Arial"/>
            <w:sz w:val="20"/>
          </w:rPr>
          <w:t>ISCRegistrar@enron.com</w:t>
        </w:r>
      </w:hyperlink>
      <w:r>
        <w:rPr>
          <w:rFonts w:cs="Arial" w:ascii="Arial" w:hAnsi="Arial"/>
          <w:sz w:val="20"/>
        </w:rPr>
        <w:t>.  Please include your name, business unit, phone number, your supervisor’s name and the date and time of the session that you would like to attend.</w:t>
      </w:r>
    </w:p>
    <w:p>
      <w:pPr>
        <w:pStyle w:val="Normal"/>
        <w:rPr>
          <w:rFonts w:ascii="Arial" w:hAnsi="Arial" w:cs="Arial"/>
          <w:sz w:val="20"/>
        </w:rPr>
      </w:pPr>
      <w:r>
        <w:rPr>
          <w:rFonts w:cs="Arial" w:ascii="Arial" w:hAnsi="Arial"/>
          <w:sz w:val="20"/>
        </w:rPr>
      </w:r>
    </w:p>
    <w:p>
      <w:pPr>
        <w:pStyle w:val="Header"/>
        <w:tabs>
          <w:tab w:val="clear" w:pos="4536"/>
          <w:tab w:val="clear" w:pos="9072"/>
          <w:tab w:val="left" w:pos="1134" w:leader="none"/>
        </w:tabs>
        <w:jc w:val="center"/>
        <w:rPr>
          <w:rFonts w:ascii="Arial" w:hAnsi="Arial" w:cs="Arial"/>
          <w:b/>
          <w:color w:val="0000FF"/>
          <w:sz w:val="20"/>
        </w:rPr>
      </w:pPr>
      <w:r>
        <w:rPr>
          <w:rFonts w:cs="Arial" w:ascii="Arial" w:hAnsi="Arial"/>
          <w:b/>
          <w:color w:val="0000FF"/>
          <w:sz w:val="20"/>
        </w:rPr>
        <w:t>Option 3: iBuyit Payables ON-LINE TRAINING MATERIALS</w:t>
      </w:r>
    </w:p>
    <w:p>
      <w:pPr>
        <w:pStyle w:val="Header"/>
        <w:tabs>
          <w:tab w:val="clear" w:pos="4536"/>
          <w:tab w:val="clear" w:pos="9072"/>
          <w:tab w:val="left" w:pos="1134" w:leader="none"/>
        </w:tabs>
        <w:jc w:val="center"/>
        <w:rPr>
          <w:rFonts w:ascii="Arial" w:hAnsi="Arial" w:cs="Arial"/>
          <w:b/>
          <w:color w:val="0000FF"/>
          <w:sz w:val="20"/>
        </w:rPr>
      </w:pPr>
      <w:r>
        <w:rPr>
          <w:rFonts w:cs="Arial" w:ascii="Arial" w:hAnsi="Arial"/>
          <w:b/>
          <w:color w:val="0000FF"/>
          <w:sz w:val="20"/>
        </w:rPr>
      </w:r>
    </w:p>
    <w:p>
      <w:pPr>
        <w:pStyle w:val="Header"/>
        <w:tabs>
          <w:tab w:val="clear" w:pos="4536"/>
          <w:tab w:val="clear" w:pos="9072"/>
          <w:tab w:val="left" w:pos="1134" w:leader="none"/>
        </w:tabs>
        <w:rPr>
          <w:rFonts w:ascii="Arial" w:hAnsi="Arial" w:cs="Arial"/>
          <w:b/>
          <w:color w:val="0000FF"/>
          <w:sz w:val="20"/>
        </w:rPr>
      </w:pPr>
      <w:r>
        <w:rPr>
          <w:rFonts w:cs="Arial" w:ascii="Arial" w:hAnsi="Arial"/>
          <w:b/>
          <w:i/>
          <w:sz w:val="20"/>
        </w:rPr>
        <w:t xml:space="preserve">What?  </w:t>
      </w:r>
      <w:r>
        <w:rPr>
          <w:rFonts w:cs="Arial" w:ascii="Arial" w:hAnsi="Arial"/>
          <w:sz w:val="20"/>
        </w:rPr>
        <w:t>All Houston based Coders and Approvers are welcome to attend the training sessions outlined above.  However, the iBuyit Payables system has been developed to be very user-friendly.  Detailed, step by step training materials will be available on-line beginning April 16.  Please review these on-line training materials to decide if your require training in addition to the on-line materials.</w:t>
      </w:r>
    </w:p>
    <w:p>
      <w:pPr>
        <w:pStyle w:val="Header"/>
        <w:tabs>
          <w:tab w:val="clear" w:pos="4536"/>
          <w:tab w:val="clear" w:pos="9072"/>
          <w:tab w:val="left" w:pos="1134" w:leader="none"/>
        </w:tabs>
        <w:rPr>
          <w:rFonts w:ascii="Arial" w:hAnsi="Arial" w:cs="Arial"/>
          <w:b/>
          <w:color w:val="0000FF"/>
          <w:sz w:val="20"/>
        </w:rPr>
      </w:pPr>
      <w:r>
        <w:rPr>
          <w:rFonts w:cs="Arial" w:ascii="Arial" w:hAnsi="Arial"/>
          <w:b/>
          <w:color w:val="0000FF"/>
          <w:sz w:val="20"/>
        </w:rPr>
      </w:r>
    </w:p>
    <w:p>
      <w:pPr>
        <w:pStyle w:val="Header"/>
        <w:tabs>
          <w:tab w:val="clear" w:pos="4536"/>
          <w:tab w:val="clear" w:pos="9072"/>
          <w:tab w:val="left" w:pos="1134" w:leader="none"/>
        </w:tabs>
        <w:jc w:val="center"/>
        <w:rPr>
          <w:rFonts w:ascii="Arial" w:hAnsi="Arial" w:cs="Arial"/>
          <w:color w:val="0000FF"/>
          <w:sz w:val="20"/>
        </w:rPr>
      </w:pPr>
      <w:r>
        <w:rPr>
          <w:rFonts w:cs="Arial" w:ascii="Arial" w:hAnsi="Arial"/>
          <w:b/>
          <w:color w:val="0000FF"/>
          <w:sz w:val="20"/>
        </w:rPr>
        <w:t>What if I am located outside of Houston?</w:t>
      </w:r>
    </w:p>
    <w:p>
      <w:pPr>
        <w:pStyle w:val="Header"/>
        <w:tabs>
          <w:tab w:val="clear" w:pos="4536"/>
          <w:tab w:val="clear" w:pos="9072"/>
          <w:tab w:val="left" w:pos="1134" w:leader="none"/>
        </w:tabs>
        <w:rPr/>
      </w:pPr>
      <w:r>
        <w:rPr>
          <w:rFonts w:cs="Arial" w:ascii="Arial" w:hAnsi="Arial"/>
          <w:sz w:val="20"/>
        </w:rPr>
        <w:t xml:space="preserve">If you are located outside of Houston, you are welcome to attend the training sessions in Houston, but on-line training materials will be made available.  To identify yourself as a remote user, please send an e-mail to </w:t>
      </w:r>
      <w:hyperlink r:id="rId3">
        <w:r>
          <w:rPr>
            <w:rStyle w:val="Hyperlink"/>
          </w:rPr>
          <w:t>Kerry.West@enron.com</w:t>
        </w:r>
      </w:hyperlink>
      <w:r>
        <w:rPr>
          <w:rFonts w:cs="Arial" w:ascii="Arial" w:hAnsi="Arial"/>
          <w:sz w:val="20"/>
        </w:rPr>
        <w:t xml:space="preserve"> with your Business Unit, and indicate whether you are a Coder or Approver.  Please note that if you choose to attend a Houston session you will be responsible for all travel related expenses. </w:t>
      </w:r>
    </w:p>
    <w:p>
      <w:pPr>
        <w:pStyle w:val="Header"/>
        <w:tabs>
          <w:tab w:val="clear" w:pos="4536"/>
          <w:tab w:val="clear" w:pos="9072"/>
          <w:tab w:val="left" w:pos="1134" w:leader="none"/>
        </w:tabs>
        <w:rPr>
          <w:rFonts w:ascii="Arial" w:hAnsi="Arial" w:cs="Arial"/>
          <w:sz w:val="20"/>
        </w:rPr>
      </w:pPr>
      <w:r>
        <w:rPr>
          <w:rFonts w:cs="Arial" w:ascii="Arial" w:hAnsi="Arial"/>
          <w:sz w:val="20"/>
        </w:rPr>
      </w:r>
    </w:p>
    <w:p>
      <w:pPr>
        <w:pStyle w:val="Normal"/>
        <w:rPr>
          <w:sz w:val="20"/>
        </w:rPr>
      </w:pPr>
      <w:r>
        <w:rPr>
          <w:rFonts w:cs="Arial" w:ascii="Arial" w:hAnsi="Arial"/>
          <w:b/>
          <w:color w:val="0000FF"/>
          <w:sz w:val="20"/>
        </w:rPr>
        <w:t>Questions?</w:t>
      </w:r>
      <w:r>
        <w:rPr>
          <w:rFonts w:cs="Arial" w:ascii="Arial" w:hAnsi="Arial"/>
          <w:b/>
          <w:color w:val="000000"/>
          <w:sz w:val="20"/>
        </w:rPr>
        <w:t xml:space="preserve"> </w:t>
      </w:r>
      <w:r>
        <w:rPr>
          <w:rFonts w:cs="Arial" w:ascii="Arial" w:hAnsi="Arial"/>
          <w:color w:val="000000"/>
          <w:sz w:val="20"/>
        </w:rPr>
        <w:t>Send an e-mail to</w:t>
      </w:r>
      <w:r>
        <w:rPr>
          <w:sz w:val="20"/>
          <w:u w:val="single"/>
        </w:rPr>
        <w:t xml:space="preserve"> </w:t>
      </w:r>
      <w:r>
        <w:rPr>
          <w:rFonts w:cs="Arial" w:ascii="Arial" w:hAnsi="Arial"/>
          <w:color w:val="0000FF"/>
          <w:sz w:val="20"/>
          <w:u w:val="single"/>
        </w:rPr>
        <w:t>&lt;</w:t>
      </w:r>
      <w:hyperlink r:id="rId4">
        <w:r>
          <w:rPr>
            <w:rStyle w:val="Hyperlink"/>
            <w:rFonts w:cs="Arial" w:ascii="Arial" w:hAnsi="Arial"/>
            <w:sz w:val="20"/>
          </w:rPr>
          <w:t>mailto:ibuyit@enron.com</w:t>
        </w:r>
      </w:hyperlink>
      <w:r>
        <w:rPr>
          <w:rFonts w:cs="Arial" w:ascii="Arial" w:hAnsi="Arial"/>
          <w:color w:val="0000FF"/>
          <w:sz w:val="20"/>
          <w:u w:val="single"/>
        </w:rPr>
        <w:t xml:space="preserve">&gt; </w:t>
      </w:r>
    </w:p>
    <w:p>
      <w:pPr>
        <w:pStyle w:val="Header"/>
        <w:tabs>
          <w:tab w:val="clear" w:pos="4536"/>
          <w:tab w:val="clear" w:pos="9072"/>
          <w:tab w:val="left" w:pos="1134" w:leader="none"/>
        </w:tabs>
        <w:rPr>
          <w:rFonts w:ascii="Arial" w:hAnsi="Arial" w:cs="Arial"/>
          <w:sz w:val="20"/>
        </w:rPr>
      </w:pPr>
      <w:r>
        <w:rPr>
          <w:rFonts w:cs="Arial" w:ascii="Arial" w:hAnsi="Arial"/>
          <w:sz w:val="20"/>
        </w:rPr>
      </w:r>
    </w:p>
    <w:sectPr>
      <w:headerReference w:type="default" r:id="rId5"/>
      <w:headerReference w:type="first" r:id="rId6"/>
      <w:footerReference w:type="default" r:id="rId7"/>
      <w:footerReference w:type="first" r:id="rId8"/>
      <w:type w:val="nextPage"/>
      <w:pgSz w:w="12240" w:h="15840"/>
      <w:pgMar w:left="1440" w:right="1440" w:gutter="0" w:header="1195" w:top="1440" w:footer="138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nl-NL"/>
      </w:rPr>
    </w:pPr>
    <w:bookmarkStart w:id="1" w:name="Logo2nd"/>
    <w:bookmarkEnd w:id="1"/>
    <w:r>
      <w:rP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nl-NL"/>
      </w:rPr>
    </w:pPr>
    <w:r>
      <w:rPr>
        <w:lang w:val="nl-N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nl-NL"/>
      </w:rPr>
    </w:pPr>
    <w:bookmarkStart w:id="0" w:name="Logo1st"/>
    <w:bookmarkEnd w:id="0"/>
    <w:r>
      <w:rPr>
        <w:lang w:val="nl-N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83"/>
        </w:tabs>
        <w:ind w:start="283" w:hanging="283"/>
      </w:p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08"/>
        <w:tab w:val="left" w:pos="1134" w:leader="none"/>
      </w:tabs>
      <w:bidi w:val="0"/>
      <w:spacing w:lineRule="atLeast" w:line="28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hd w:fill="FFFFFF" w:val="clear"/>
      <w:spacing w:lineRule="atLeast" w:line="300"/>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before="240" w:after="0"/>
      <w:outlineLvl w:val="1"/>
    </w:pPr>
    <w:rPr>
      <w:rFonts w:ascii="Arial" w:hAnsi="Arial" w:cs="Arial"/>
      <w:b/>
      <w:sz w:val="18"/>
    </w:rPr>
  </w:style>
  <w:style w:type="paragraph" w:styleId="Heading3">
    <w:name w:val="heading 3"/>
    <w:basedOn w:val="Normal"/>
    <w:next w:val="Normal"/>
    <w:qFormat/>
    <w:pPr>
      <w:keepNext w:val="true"/>
      <w:numPr>
        <w:ilvl w:val="2"/>
        <w:numId w:val="1"/>
      </w:numPr>
      <w:spacing w:lineRule="atLeast" w:line="240" w:before="240" w:after="60"/>
      <w:outlineLvl w:val="2"/>
    </w:pPr>
    <w:rPr>
      <w:rFonts w:ascii="Arial" w:hAnsi="Arial" w:cs="Arial"/>
      <w:sz w:val="18"/>
    </w:rPr>
  </w:style>
  <w:style w:type="paragraph" w:styleId="Heading4">
    <w:name w:val="heading 4"/>
    <w:basedOn w:val="Normal"/>
    <w:next w:val="Normal"/>
    <w:qFormat/>
    <w:pPr>
      <w:keepNext w:val="true"/>
      <w:numPr>
        <w:ilvl w:val="3"/>
        <w:numId w:val="1"/>
      </w:numPr>
      <w:jc w:val="center"/>
      <w:outlineLvl w:val="3"/>
    </w:pPr>
    <w:rPr>
      <w:rFonts w:ascii="Arial" w:hAnsi="Arial" w:cs="Arial"/>
      <w:b/>
      <w:color w:val="0000FF"/>
      <w:sz w:val="20"/>
    </w:rPr>
  </w:style>
  <w:style w:type="paragraph" w:styleId="Heading5">
    <w:name w:val="heading 5"/>
    <w:basedOn w:val="Normal"/>
    <w:next w:val="Normal"/>
    <w:qFormat/>
    <w:pPr>
      <w:keepNext w:val="true"/>
      <w:numPr>
        <w:ilvl w:val="4"/>
        <w:numId w:val="1"/>
      </w:numPr>
      <w:outlineLvl w:val="4"/>
    </w:pPr>
    <w:rPr>
      <w:rFonts w:ascii="Arial" w:hAnsi="Arial" w:cs="Arial"/>
      <w:b/>
      <w:color w:val="0000FF"/>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rFonts w:ascii="Wingdings" w:hAnsi="Wingdings" w:cs="Wingdings"/>
    </w:rPr>
  </w:style>
  <w:style w:type="character" w:styleId="WW8Num23z0">
    <w:name w:val="WW8Num23z0"/>
    <w:qFormat/>
    <w:rPr>
      <w:rFonts w:ascii="Symbol" w:hAnsi="Symbol" w:cs="Symbol"/>
      <w:color w:val="auto"/>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kern w:val="2"/>
      <w:position w:val="0"/>
      <w:sz w:val="24"/>
      <w:vertAlign w:val="baseline"/>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color w:val="auto"/>
    </w:rPr>
  </w:style>
  <w:style w:type="character" w:styleId="WW8Num32z0">
    <w:name w:val="WW8Num32z0"/>
    <w:qFormat/>
    <w:rPr>
      <w:rFonts w:ascii="Symbol" w:hAnsi="Symbol" w:cs="Symbol"/>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sz w:val="16"/>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color w:val="auto"/>
    </w:rPr>
  </w:style>
  <w:style w:type="character" w:styleId="WW8Num42z0">
    <w:name w:val="WW8Num42z0"/>
    <w:qFormat/>
    <w:rPr>
      <w:rFonts w:ascii="Symbol" w:hAnsi="Symbol" w:cs="Symbol"/>
    </w:rPr>
  </w:style>
  <w:style w:type="character" w:styleId="WW8Num43z0">
    <w:name w:val="WW8Num43z0"/>
    <w:qFormat/>
    <w:rPr>
      <w:rFonts w:ascii="Arial" w:hAnsi="Arial" w:cs="Arial"/>
      <w:kern w:val="2"/>
      <w:sz w:val="28"/>
    </w:rPr>
  </w:style>
  <w:style w:type="character" w:styleId="WW8Num44z0">
    <w:name w:val="WW8Num44z0"/>
    <w:qFormat/>
    <w:rPr>
      <w:rFonts w:ascii="Symbol" w:hAnsi="Symbol" w:cs="Symbol"/>
    </w:rPr>
  </w:style>
  <w:style w:type="character" w:styleId="WW8Num46z0">
    <w:name w:val="WW8Num46z0"/>
    <w:qFormat/>
    <w:rPr>
      <w:rFonts w:ascii="Symbol" w:hAnsi="Symbol" w:cs="Symbol"/>
      <w:color w:val="auto"/>
    </w:rPr>
  </w:style>
  <w:style w:type="character" w:styleId="WW8Num48z0">
    <w:name w:val="WW8Num48z0"/>
    <w:qFormat/>
    <w:rPr>
      <w:rFonts w:ascii="Symbol" w:hAnsi="Symbol" w:cs="Symbol"/>
    </w:rPr>
  </w:style>
  <w:style w:type="character" w:styleId="WW8Num50z0">
    <w:name w:val="WW8Num50z0"/>
    <w:qFormat/>
    <w:rPr>
      <w:rFonts w:ascii="Symbol" w:hAnsi="Symbol" w:cs="Symbol"/>
      <w:color w:val="auto"/>
    </w:rPr>
  </w:style>
  <w:style w:type="character" w:styleId="WW8Num51z0">
    <w:name w:val="WW8Num51z0"/>
    <w:qFormat/>
    <w:rPr>
      <w:rFonts w:ascii="Symbol" w:hAnsi="Symbol" w:cs="Symbol"/>
      <w:color w:val="auto"/>
    </w:rPr>
  </w:style>
  <w:style w:type="character" w:styleId="WW8Num52z0">
    <w:name w:val="WW8Num52z0"/>
    <w:qFormat/>
    <w:rPr>
      <w:rFonts w:ascii="Symbol" w:hAnsi="Symbol" w:cs="Symbol"/>
      <w:color w:val="auto"/>
    </w:rPr>
  </w:style>
  <w:style w:type="character" w:styleId="WW8Num53z0">
    <w:name w:val="WW8Num53z0"/>
    <w:qFormat/>
    <w:rPr>
      <w:rFonts w:ascii="Symbol" w:hAnsi="Symbol" w:cs="Symbol"/>
      <w:kern w:val="2"/>
      <w:position w:val="0"/>
      <w:sz w:val="24"/>
      <w:vertAlign w:val="baseline"/>
    </w:rPr>
  </w:style>
  <w:style w:type="character" w:styleId="WW8Num54z0">
    <w:name w:val="WW8Num54z0"/>
    <w:qFormat/>
    <w:rPr>
      <w:rFonts w:ascii="Arial" w:hAnsi="Arial" w:cs="Arial"/>
      <w:kern w:val="2"/>
      <w:sz w:val="28"/>
    </w:rPr>
  </w:style>
  <w:style w:type="character" w:styleId="WW8Num55z0">
    <w:name w:val="WW8Num55z0"/>
    <w:qFormat/>
    <w:rPr>
      <w:rFonts w:ascii="Symbol" w:hAnsi="Symbol" w:cs="Symbol"/>
      <w:kern w:val="2"/>
      <w:position w:val="0"/>
      <w:sz w:val="24"/>
      <w:vertAlign w:val="baseline"/>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AFrameLogo">
    <w:name w:val="AA Frame Logo"/>
    <w:basedOn w:val="Normal"/>
    <w:qFormat/>
    <w:pPr/>
    <w:rPr/>
  </w:style>
  <w:style w:type="paragraph" w:styleId="AA1stlevelbullet">
    <w:name w:val="AA 1st level bullet"/>
    <w:basedOn w:val="Normal"/>
    <w:qFormat/>
    <w:pPr>
      <w:numPr>
        <w:ilvl w:val="0"/>
        <w:numId w:val="13"/>
      </w:numPr>
      <w:tabs>
        <w:tab w:val="clear" w:pos="1134"/>
      </w:tabs>
      <w:ind w:hanging="284" w:start="284" w:end="0"/>
    </w:pPr>
    <w:rPr/>
  </w:style>
  <w:style w:type="paragraph" w:styleId="AA2ndlevelbullet">
    <w:name w:val="AA 2nd level bullet"/>
    <w:basedOn w:val="AA1stlevelbullet"/>
    <w:qFormat/>
    <w:pPr>
      <w:numPr>
        <w:ilvl w:val="0"/>
        <w:numId w:val="14"/>
      </w:numPr>
      <w:ind w:hanging="284" w:start="568" w:end="0"/>
    </w:pPr>
    <w:rPr/>
  </w:style>
  <w:style w:type="paragraph" w:styleId="AANumbering">
    <w:name w:val="AA Numbering"/>
    <w:basedOn w:val="Normal"/>
    <w:qFormat/>
    <w:pPr>
      <w:numPr>
        <w:ilvl w:val="0"/>
        <w:numId w:val="12"/>
      </w:numPr>
      <w:ind w:hanging="0" w:start="0" w:end="0"/>
    </w:pPr>
    <w:rPr/>
  </w:style>
  <w:style w:type="paragraph" w:styleId="EnvelopeReturn">
    <w:name w:val="envelope return"/>
    <w:basedOn w:val="Normal"/>
    <w:pPr/>
    <w:rPr>
      <w:rFonts w:ascii="Arial" w:hAnsi="Arial" w:cs="Arial"/>
      <w:sz w:val="20"/>
    </w:rPr>
  </w:style>
  <w:style w:type="paragraph" w:styleId="BodyText2">
    <w:name w:val="Body Text 2"/>
    <w:basedOn w:val="Normal"/>
    <w:qFormat/>
    <w:pPr>
      <w:jc w:val="center"/>
    </w:pPr>
    <w:rPr>
      <w:rFonts w:ascii="Arial" w:hAnsi="Arial" w:cs="Arial"/>
      <w:b/>
      <w:color w:val="FF0000"/>
    </w:rPr>
  </w:style>
  <w:style w:type="paragraph" w:styleId="BodyText3">
    <w:name w:val="Body Text 3"/>
    <w:basedOn w:val="Normal"/>
    <w:qFormat/>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SCRegistrar@enron.com" TargetMode="External"/><Relationship Id="rId3" Type="http://schemas.openxmlformats.org/officeDocument/2006/relationships/hyperlink" Target="mailto:Kerry.West@enron.com" TargetMode="External"/><Relationship Id="rId4" Type="http://schemas.openxmlformats.org/officeDocument/2006/relationships/hyperlink" Target="mailto:ibuyit@enron.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2001-04-04T21:33:00Z</dcterms:created>
  <dc:creator>Arthur Andersen</dc:creator>
  <dc:description/>
  <dc:language>en-CA</dc:language>
  <cp:lastModifiedBy>Arthur Andersen</cp:lastModifiedBy>
  <cp:lastPrinted>1999-11-18T18:07:00Z</cp:lastPrinted>
  <dcterms:modified xsi:type="dcterms:W3CDTF">2001-04-06T14:57:00Z</dcterms:modified>
  <cp:revision>9</cp:revision>
  <dc:subject/>
  <dc:title>Date:</dc:title>
</cp:coreProperties>
</file>