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hdr"/>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PERSONAL DATA</w:t>
      </w:r>
    </w:p>
    <w:p>
      <w:pPr>
        <w:pStyle w:val="Normal"/>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tabs>
          <w:tab w:val="clear" w:pos="720"/>
          <w:tab w:val="left" w:pos="4320" w:leader="none"/>
        </w:tabs>
        <w:ind w:start="720" w:end="0"/>
        <w:jc w:val="both"/>
        <w:rPr/>
      </w:pPr>
      <w:r>
        <w:rPr>
          <w:rFonts w:eastAsia="Book Antiqua" w:cs="Book Antiqua" w:ascii="Book Antiqua" w:hAnsi="Book Antiqua"/>
          <w:sz w:val="24"/>
          <w:szCs w:val="24"/>
        </w:rPr>
        <w:t>NAME:</w:t>
        <w:tab/>
      </w:r>
      <w:r>
        <w:rPr>
          <w:rFonts w:eastAsia="Book Antiqua" w:cs="Book Antiqua" w:ascii="Book Antiqua" w:hAnsi="Book Antiqua"/>
          <w:b/>
          <w:bCs/>
          <w:sz w:val="24"/>
          <w:szCs w:val="24"/>
        </w:rPr>
        <w:t>MICHAEL T. HUNTER</w:t>
      </w:r>
    </w:p>
    <w:p>
      <w:pPr>
        <w:pStyle w:val="Normal"/>
        <w:tabs>
          <w:tab w:val="clear" w:pos="720"/>
          <w:tab w:val="left" w:pos="4320" w:leader="none"/>
        </w:tabs>
        <w:ind w:start="720" w:end="0"/>
        <w:jc w:val="both"/>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RESIDENCE:</w:t>
        <w:tab/>
        <w:t>10028 Rock Hill Lane</w:t>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 xml:space="preserve">Dallas, Texas 75229 </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TELEPHONE:</w:t>
        <w:tab/>
        <w:tab/>
        <w:tab/>
        <w:t>O: (214) 956-7244</w:t>
      </w:r>
    </w:p>
    <w:p>
      <w:pPr>
        <w:pStyle w:val="Normal"/>
        <w:ind w:firstLine="720" w:start="3600" w:end="0"/>
        <w:jc w:val="both"/>
        <w:rPr>
          <w:rFonts w:ascii="Book Antiqua" w:hAnsi="Book Antiqua" w:eastAsia="Book Antiqua" w:cs="Book Antiqua"/>
          <w:sz w:val="24"/>
          <w:szCs w:val="24"/>
        </w:rPr>
      </w:pPr>
      <w:r>
        <w:rPr>
          <w:rFonts w:eastAsia="Book Antiqua" w:cs="Book Antiqua" w:ascii="Book Antiqua" w:hAnsi="Book Antiqua"/>
          <w:sz w:val="24"/>
          <w:szCs w:val="24"/>
        </w:rPr>
        <w:t>H: (214) 904-9522</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Email: mhunter50@aol.com</w:t>
      </w:r>
    </w:p>
    <w:p>
      <w:pPr>
        <w:pStyle w:val="Mainhdr"/>
        <w:spacing w:before="0" w:after="6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Mainhdr"/>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sz w:val="24"/>
          <w:szCs w:val="24"/>
        </w:rPr>
        <w:t>EDUCATION</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University of Idaho</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MBA - 1975</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University of Idaho</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BS, Political Science - 1973</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sz w:val="24"/>
          <w:szCs w:val="24"/>
        </w:rPr>
      </w:pPr>
      <w:r>
        <w:rPr>
          <w:rFonts w:eastAsia="Book Antiqua" w:cs="Book Antiqua" w:ascii="Book Antiqua" w:hAnsi="Book Antiqua"/>
          <w:b w:val="false"/>
          <w:bCs w:val="false"/>
          <w:sz w:val="24"/>
          <w:szCs w:val="24"/>
          <w:u w:val="none"/>
        </w:rPr>
        <w:tab/>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BUSINESS HISTORY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TXU CORP</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(Formerly Texas Utilities Company)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Dallas, Texas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August 1997 - November 1999t</w:t>
      </w:r>
    </w:p>
    <w:p>
      <w:pPr>
        <w:pStyle w:val="Normal"/>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ENSERCH Corporation was merged into TXU effective August 5, 1997. The Pipeline Business Unit comprises 10,000 miles of intrastate natural gas pipelines providing transportation and storage services to TXU Lone Star Gas Company (LDC affiliate), TXU Electric Company (electric utility affiliate), and several hundred unaffiliated industrial, producer, and other customers.</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Following the merger closing, successfully led the effort to consolidate pipeline field operations, engineering, operations support, and construction support services resulting in a 200 FTE workforce reduction and $8 million in lower annual pipeline expenses.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pPr>
      <w:r>
        <w:rPr>
          <w:rFonts w:eastAsia="Book Antiqua" w:cs="Book Antiqua" w:ascii="Book Antiqua" w:hAnsi="Book Antiqua"/>
          <w:spacing w:val="-2"/>
          <w:sz w:val="24"/>
          <w:szCs w:val="24"/>
        </w:rPr>
        <w:tab/>
      </w:r>
      <w:r>
        <w:rPr>
          <w:rFonts w:eastAsia="Book Antiqua" w:cs="Book Antiqua" w:ascii="Book Antiqua" w:hAnsi="Book Antiqua"/>
          <w:spacing w:val="-2"/>
          <w:sz w:val="24"/>
          <w:szCs w:val="24"/>
          <w:u w:val="single"/>
        </w:rPr>
        <w:t xml:space="preserve">PRESIDENT, PIPELINE BUSINESS UNIT </w:t>
      </w:r>
    </w:p>
    <w:p>
      <w:pPr>
        <w:pStyle w:val="Normal"/>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Following the merger, was elected President, Pipeline Business Unit for TXU which entails executive management responsibility for these separate entities: TXU Lone Star Pipeline Company, TXU Fuel Company, TXU Pipeline Services, and TXU Processing, Inc.</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ENSERCH CORPORATION</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Dallas, Texas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June 1995 - August 1997</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pPr>
      <w:r>
        <w:rPr>
          <w:rFonts w:eastAsia="Book Antiqua" w:cs="Book Antiqua" w:ascii="Book Antiqua" w:hAnsi="Book Antiqua"/>
          <w:sz w:val="24"/>
          <w:szCs w:val="24"/>
        </w:rPr>
        <w:tab/>
      </w:r>
      <w:r>
        <w:rPr>
          <w:rFonts w:eastAsia="Book Antiqua" w:cs="Book Antiqua" w:ascii="Book Antiqua" w:hAnsi="Book Antiqua"/>
          <w:caps/>
          <w:spacing w:val="-2"/>
          <w:sz w:val="24"/>
          <w:szCs w:val="24"/>
          <w:u w:val="single"/>
        </w:rPr>
        <w:t>PRESIDENT, LONE STAR PIPELINE COMPANY (LSP)</w:t>
      </w:r>
    </w:p>
    <w:p>
      <w:pPr>
        <w:pStyle w:val="Heading2"/>
        <w:widowControl/>
        <w:tabs>
          <w:tab w:val="clear" w:pos="720"/>
          <w:tab w:val="left" w:pos="1080" w:leader="none"/>
          <w:tab w:val="right" w:pos="9360" w:leader="none"/>
        </w:tabs>
        <w:ind w:hanging="0"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Heading2"/>
        <w:widowControl/>
        <w:tabs>
          <w:tab w:val="clear" w:pos="720"/>
          <w:tab w:val="left" w:pos="1080" w:leader="none"/>
          <w:tab w:val="right" w:pos="9360" w:leader="none"/>
        </w:tabs>
        <w:ind w:hanging="0" w:start="1440" w:end="0"/>
        <w:jc w:val="both"/>
        <w:rPr/>
      </w:pPr>
      <w:r>
        <w:rPr>
          <w:rFonts w:eastAsia="Book Antiqua" w:cs="Book Antiqua" w:ascii="Book Antiqua" w:hAnsi="Book Antiqua"/>
        </w:rPr>
        <w:t>Reported directly to the Chairman and CEO of ENSERCH Corporation.  Responsible for all functions and activities of LSP, the largest intrastate natural gas pipeline in Texas and the 14</w:t>
      </w:r>
      <w:r>
        <w:rPr>
          <w:rFonts w:eastAsia="Book Antiqua" w:cs="Book Antiqua" w:ascii="Book Antiqua" w:hAnsi="Book Antiqua"/>
          <w:vertAlign w:val="superscript"/>
        </w:rPr>
        <w:t>th</w:t>
      </w:r>
      <w:r>
        <w:rPr>
          <w:rFonts w:eastAsia="Book Antiqua" w:cs="Book Antiqua" w:ascii="Book Antiqua" w:hAnsi="Book Antiqua"/>
        </w:rPr>
        <w:t xml:space="preserve"> largest natural gas pipeline in the Nation.  LSP comprised an 8,000-mile pipeline system, 650 employees, and reported 1996 EBIT of $50 million.</w:t>
      </w:r>
    </w:p>
    <w:p>
      <w:pPr>
        <w:pStyle w:val="Normal"/>
        <w:rPr>
          <w:rFonts w:ascii="Book Antiqua" w:hAnsi="Book Antiqua" w:eastAsia="Book Antiqua" w:cs="Book Antiqua"/>
        </w:rPr>
      </w:pPr>
      <w:r>
        <w:rPr>
          <w:rFonts w:eastAsia="Book Antiqua" w:cs="Book Antiqua" w:ascii="Book Antiqua" w:hAnsi="Book Antiqua"/>
        </w:rPr>
      </w:r>
    </w:p>
    <w:p>
      <w:pPr>
        <w:pStyle w:val="Normal"/>
        <w:rPr/>
      </w:pPr>
      <w:r>
        <w:rPr/>
        <w:tab/>
        <w:tab/>
      </w:r>
      <w:r>
        <w:rPr>
          <w:rFonts w:eastAsia="Book Antiqua" w:cs="Book Antiqua" w:ascii="Book Antiqua" w:hAnsi="Book Antiqua"/>
          <w:sz w:val="24"/>
          <w:szCs w:val="24"/>
          <w:u w:val="single"/>
        </w:rPr>
        <w:t>VICE CHAIRMAN, ENSERCH PROCESSING, INC. (EPI)</w:t>
      </w:r>
    </w:p>
    <w:p>
      <w:pPr>
        <w:pStyle w:val="Normal"/>
        <w:tabs>
          <w:tab w:val="clear" w:pos="720"/>
          <w:tab w:val="left" w:pos="1080" w:leader="none"/>
          <w:tab w:val="right" w:pos="9360" w:leader="none"/>
        </w:tabs>
        <w:ind w:start="1440" w:end="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right" w:pos="9360" w:leader="none"/>
        </w:tabs>
        <w:ind w:start="1440" w:end="0"/>
        <w:rPr>
          <w:rFonts w:ascii="Book Antiqua" w:hAnsi="Book Antiqua" w:eastAsia="Book Antiqua" w:cs="Book Antiqua"/>
          <w:sz w:val="24"/>
          <w:szCs w:val="24"/>
        </w:rPr>
      </w:pPr>
      <w:r>
        <w:rPr>
          <w:rFonts w:eastAsia="Book Antiqua" w:cs="Book Antiqua" w:ascii="Book Antiqua" w:hAnsi="Book Antiqua"/>
          <w:sz w:val="24"/>
          <w:szCs w:val="24"/>
        </w:rPr>
        <w:t>Executive reporting responsibility for EPI, a natural gas gathering and processing business.  EPI comprised a 1,700 mile pipeline system, 13 processing plants, 200 employees, and reported 1996 EBIT of $22 million.</w:t>
      </w:r>
    </w:p>
    <w:p>
      <w:pPr>
        <w:pStyle w:val="Normal"/>
        <w:tabs>
          <w:tab w:val="clear" w:pos="720"/>
          <w:tab w:val="left" w:pos="1080" w:leader="none"/>
          <w:tab w:val="right" w:pos="9360" w:leader="none"/>
        </w:tabs>
        <w:ind w:start="1440" w:end="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1440" w:end="0"/>
        <w:jc w:val="both"/>
        <w:rPr>
          <w:rFonts w:ascii="Book Antiqua" w:hAnsi="Book Antiqua" w:eastAsia="Book Antiqua" w:cs="Book Antiqua"/>
          <w:sz w:val="24"/>
          <w:szCs w:val="24"/>
        </w:rPr>
      </w:pPr>
      <w:r>
        <w:rPr>
          <w:rFonts w:eastAsia="Book Antiqua" w:cs="Book Antiqua" w:ascii="Book Antiqua" w:hAnsi="Book Antiqua"/>
          <w:sz w:val="24"/>
          <w:szCs w:val="24"/>
          <w:u w:val="single"/>
        </w:rPr>
        <w:t>Major accomplishments from ENSERCH management efforts include:</w:t>
      </w:r>
    </w:p>
    <w:p>
      <w:pPr>
        <w:pStyle w:val="Normal"/>
        <w:tabs>
          <w:tab w:val="clear" w:pos="720"/>
          <w:tab w:val="left" w:pos="-1080" w:leader="none"/>
          <w:tab w:val="left" w:pos="-720" w:leader="none"/>
          <w:tab w:val="left" w:pos="1"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2"/>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360" w:start="2160" w:end="0"/>
        <w:jc w:val="both"/>
        <w:rPr>
          <w:rFonts w:ascii="Book Antiqua" w:hAnsi="Book Antiqua" w:eastAsia="Book Antiqua" w:cs="Book Antiqua"/>
          <w:sz w:val="24"/>
          <w:szCs w:val="24"/>
        </w:rPr>
      </w:pPr>
      <w:r>
        <w:rPr>
          <w:rFonts w:eastAsia="Book Antiqua" w:cs="Book Antiqua" w:ascii="Book Antiqua" w:hAnsi="Book Antiqua"/>
          <w:sz w:val="24"/>
          <w:szCs w:val="24"/>
        </w:rPr>
        <w:t>Chartered a major, cross-functional employee team to determine appropriate degrees of separation for Lone Star Gas Company and Lone Star Pipeline Company.  This culminated in the pursuit of a regulatory initiative before the Texas Railroad Commission.</w:t>
      </w:r>
    </w:p>
    <w:p>
      <w:pPr>
        <w:pStyle w:val="Normal"/>
        <w:tabs>
          <w:tab w:val="clear" w:pos="720"/>
          <w:tab w:val="left" w:pos="-1080" w:leader="none"/>
          <w:tab w:val="left" w:pos="-720" w:leader="none"/>
          <w:tab w:val="left" w:pos="1"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3"/>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360" w:start="2160" w:end="0"/>
        <w:jc w:val="both"/>
        <w:rPr>
          <w:rFonts w:ascii="Book Antiqua" w:hAnsi="Book Antiqua" w:eastAsia="Book Antiqua" w:cs="Book Antiqua"/>
          <w:sz w:val="24"/>
          <w:szCs w:val="24"/>
        </w:rPr>
      </w:pPr>
      <w:r>
        <w:rPr>
          <w:rFonts w:eastAsia="Book Antiqua" w:cs="Book Antiqua" w:ascii="Book Antiqua" w:hAnsi="Book Antiqua"/>
          <w:sz w:val="24"/>
          <w:szCs w:val="24"/>
        </w:rPr>
        <w:t>Effected a significant asset realignment between Lone Star Pipeline and Enserch Processing, Inc., resulting in greatly improved business focus and return on assets.</w:t>
      </w:r>
    </w:p>
    <w:p>
      <w:pPr>
        <w:pStyle w:val="Normal"/>
        <w:tabs>
          <w:tab w:val="clear" w:pos="720"/>
          <w:tab w:val="left" w:pos="360" w:leader="none"/>
          <w:tab w:val="left" w:pos="540" w:leader="none"/>
          <w:tab w:val="left" w:pos="1080" w:leader="none"/>
          <w:tab w:val="right" w:pos="936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4"/>
        </w:numPr>
        <w:tabs>
          <w:tab w:val="left" w:pos="0" w:leader="none"/>
          <w:tab w:val="left" w:pos="18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Initiated new communication and information feedback tools for employees</w:t>
      </w:r>
      <w:r>
        <w:rPr>
          <w:sz w:val="22"/>
          <w:szCs w:val="22"/>
        </w:rPr>
        <w: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NORAM ENERGY CORPORATION</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rPr>
        <w:t>(Formerly Arkla, Inc.)</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February 198 - 1995</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 AND DIRECTOR</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Mississippi River Transmission Corp. (MRT)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spacing w:val="-2"/>
          <w:sz w:val="24"/>
          <w:szCs w:val="24"/>
        </w:rPr>
        <w:t>St. Louis, Missouri</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May 1988 - May 1995</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Provided chief executive leadership for MRT, an interstate natural gas pipeline subsidiary of Noram, acquired in July 1986.</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u w:val="single"/>
        </w:rPr>
        <w:t>Major accomplishments from MRT management efforts include:</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Successfully negotiated long-term (10-year) service agreement with largest LDC customer (68% of traditional market firm contract demand), with final FERC approval obtained.</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Effected smooth transition of MRT to ôopen accessö transportation environment under changing FERC regulations.  MRT was one of the last major interstate pipelines to provide open-access transportation services.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Favorably re-negotiated all major direct industrial contracts.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Initiated employee involvement groups and significantly expanded communication opportunities.  These efforts assisted the organization in successfully confronting cultural and business environment changes.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Implemented cost and staff reduction moves consistent with increasingly competitive business environment.</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Initiated and pursued to successful completion (including EPA acceptance) a PCB environmental remediation project covering compressor sites contaminated in the late 1960s and early 1970s.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Obtained settlement and FERC approval of Order 636 tariff and restructured service offerings for MRT.</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Activated and staffed MRT Energy Marketing Company, a former shelf subsidiary, and successfully negotiated post-Order 636 agency agreements with customers representing 90% of traditional market firm contract demand.</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December 1994, independent, industry-wide survey ranked MRT in the top 4 out of 36 interstate gas pipelines as to customer satisfaction.</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5"/>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360" w:start="2160" w:end="0"/>
        <w:jc w:val="both"/>
        <w:rPr>
          <w:rFonts w:ascii="Book Antiqua" w:hAnsi="Book Antiqua" w:eastAsia="Book Antiqua" w:cs="Book Antiqua"/>
          <w:sz w:val="24"/>
          <w:szCs w:val="24"/>
        </w:rPr>
      </w:pPr>
      <w:r>
        <w:rPr>
          <w:rFonts w:eastAsia="Book Antiqua" w:cs="Book Antiqua" w:ascii="Book Antiqua" w:hAnsi="Book Antiqua"/>
          <w:sz w:val="24"/>
          <w:szCs w:val="24"/>
        </w:rPr>
        <w:t>Achieved profitability ratios for MRT among the highest in the interstate pipeline industry.</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22"/>
        </w:rPr>
      </w:pPr>
      <w:r>
        <w:rPr>
          <w:rFonts w:eastAsia="Book Antiqua" w:cs="Book Antiqua" w:ascii="Book Antiqua" w:hAnsi="Book Antiqua"/>
          <w:sz w:val="24"/>
          <w:szCs w:val="24"/>
        </w:rPr>
        <w:t>Concurrently held an EVP title in the Arkla Pipeline Group (APG) undertaking responsibility for restructuring the pipelinesÆ field operations and consolidating operations support functions (e.g., engineering, drafting, measurement processing, purchasing, etc.).  Resulted in elimination of one region operations staff, several district operating staffs, and substantial overall head count and attendant cost reductions.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before="0" w:after="120"/>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 and chief operating officer</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Arkla Energy Resources (AER) (Renamed NorAm Gas Transmission)</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Shreveport, Louisiana</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spacing w:val="-2"/>
          <w:sz w:val="24"/>
          <w:szCs w:val="24"/>
        </w:rPr>
        <w:t>June 1986 - May 1988</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Executive management responsibility for AER, an interstate gas pipeline division of Arkla, Inc.</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u w:val="single"/>
        </w:rPr>
        <w:t>Major accomplishments from AER management efforts include:</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6"/>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Developed and implemented an AER marketing strategy and organization.</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6"/>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Initiated new business transactions, constructed numerous interconnects and exposed ArklaÆs pipeline assets to commercial relationships with non-traditional customers.  Previously, Arkla operated a very closed system, from wellhead to burner tip, and had experienced significant business decline in its traditional markets.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6"/>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Achieved a throughput (volume) increase of 103 BCF (40%) between year end 1984 and 12 months ended mid-1988.  This throughput increase occurred in a period of declining national demand for natural gas and was equaled in performance by only one other major interstate gas pipeline.</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6"/>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Effectively managed AERÆs transition to new ôopen-accessö transportation environment.  AER was one of the first major interstate pipelines to accept ôopen-accessö conditions.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6"/>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Sought and achieved Arkla, Inc. Board approval for creation of non-jurisdictional marketing Company, Arkla Energy Marketing Company (AEM), now one of the major pipeline affiliated marketing operations in the Nation (renamed NorAm Energy Services).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SR. VICE PRESIDENT, MARKETING</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Arkla Energy Resource (AER)</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February 1985 - June 1986</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Management responsibility for the marketing activities of AER.</w:t>
      </w:r>
    </w:p>
    <w:p>
      <w:pPr>
        <w:pStyle w:val="Normal"/>
        <w:tabs>
          <w:tab w:val="clear" w:pos="720"/>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CENTRAL AND SOUTHWEST CORP. (C&amp;SW)</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March 1976 - February 1985</w:t>
      </w:r>
    </w:p>
    <w:p>
      <w:pPr>
        <w:pStyle w:val="Normal"/>
        <w:tabs>
          <w:tab w:val="clear" w:pos="720"/>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An electric utility holding company.</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TANSOK, INC.</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Tulsa, Oklahoma</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1981 1984</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Intrastate natural gas pipeline subsidiary of C&amp;SW.</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r>
      <w:r>
        <w:rPr>
          <w:rFonts w:eastAsia="Book Antiqua" w:cs="Book Antiqua" w:ascii="Book Antiqua" w:hAnsi="Book Antiqua"/>
          <w:sz w:val="24"/>
          <w:szCs w:val="24"/>
          <w:u w:val="single"/>
        </w:rPr>
        <w:t>VICE PRESIDENT</w:t>
      </w:r>
    </w:p>
    <w:p>
      <w:pPr>
        <w:pStyle w:val="Normal"/>
        <w:tabs>
          <w:tab w:val="clear" w:pos="720"/>
          <w:tab w:val="left" w:pos="1440" w:leader="none"/>
          <w:tab w:val="left" w:pos="2160" w:leader="none"/>
          <w:tab w:val="left" w:pos="2880" w:leader="none"/>
        </w:tabs>
        <w:suppressAutoHyphens w:val="true"/>
        <w:spacing w:lineRule="auto" w:line="233"/>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left" w:pos="-720" w:leader="none"/>
          <w:tab w:val="left" w:pos="1"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22"/>
        </w:rPr>
      </w:pPr>
      <w:r>
        <w:rPr>
          <w:rFonts w:eastAsia="Book Antiqua" w:cs="Book Antiqua" w:ascii="Book Antiqua" w:hAnsi="Book Antiqua"/>
          <w:sz w:val="24"/>
          <w:szCs w:val="24"/>
        </w:rPr>
        <w:t>As corporate Vice President, held management responsibility for the following functions in this effectively unregulated pipeline enterprise: Legal Department, Corporate Planning, Corporate Secretary, Treasurer, Gas Marketing, NGL Marketing, Transportation and Exchange and Contract Administration.</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r>
      <w:r>
        <w:rPr>
          <w:rFonts w:eastAsia="Book Antiqua" w:cs="Book Antiqua" w:ascii="Book Antiqua" w:hAnsi="Book Antiqua"/>
          <w:sz w:val="24"/>
          <w:szCs w:val="24"/>
          <w:u w:val="single"/>
        </w:rPr>
        <w:t>ASSISTANT TO THE PRESIDENT</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1980</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As assistant to the President, was responsible for developing strategic plans and initiatives for Transok in light of greatly changed operating environment with electric utility affiliate.</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t>Major accomplishments from Transok management efforts include:</w:t>
      </w:r>
    </w:p>
    <w:p>
      <w:pPr>
        <w:pStyle w:val="Normal"/>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numPr>
          <w:ilvl w:val="0"/>
          <w:numId w:val="7"/>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Initiated and advanced a plan (securing ultimate C&amp;SW Board approval) to effect ôspin-upö of Transok to a first tier subsidiary of C&amp;SW.  Assisted in acquiring requisite SEC approvals.  Previously, Transok had operated as a wholly-owned subsidiary of its electric utility affiliate, Public Service Company of Oklahoma (PSO).</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7"/>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Negotiated and implemented several significant sales and transportation agreements with major interstate pipeline companies and other direct customers.</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7"/>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Involved in the analyses and bringing on line of several natural gas processing plants as a new business direction for Transok.</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7"/>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As a co-equal partner with two major natural gas companies, negotiated the acquisition and conversion (to gas service) of a 500+ mile, large diameter, crude oil pipeline.</w:t>
      </w:r>
    </w:p>
    <w:p>
      <w:pPr>
        <w:pStyle w:val="Normal"/>
        <w:numPr>
          <w:ilvl w:val="0"/>
          <w:numId w:val="0"/>
        </w:numPr>
        <w:tabs>
          <w:tab w:val="clear" w:pos="720"/>
          <w:tab w:val="left" w:pos="-10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7"/>
        </w:numPr>
        <w:tabs>
          <w:tab w:val="clear" w:pos="720"/>
          <w:tab w:val="left" w:pos="0" w:leader="none"/>
          <w:tab w:val="left" w:pos="18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As a reflection of the aggregate efforts undertaken at Transok, net income increased from $1.5 million in 1979 to $15 million at year end 1984.</w:t>
      </w:r>
    </w:p>
    <w:p>
      <w:pPr>
        <w:pStyle w:val="Normal"/>
        <w:ind w:firstLine="720" w:end="0"/>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ind w:firstLine="720" w:end="0"/>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t>PUBLIC SERVICE COMPANY OF OKLAHOMA (PSO)</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Tulsa, Oklahoma</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1976 - 1979</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An electric subsidiary of C&amp;SW.</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Joined PSO immediately after completing graduate school commencing service as first participant in new management training program receiving focused ôhands onö experience in local utility business office functions, e.g., meter reading, customer accounting, customer service center, credit and collection, service engineering, et al.  Following completion of training program, transferred to the Finance Group holding  positions of increasing responsibility with principal assignments involving the preparation and presentation of rate cases and fuel cost adjustment clause cases before the Oklahoma Corporation Commission.</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ASSISTANT TO THE TREASUREER</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1979</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SUPERVISORY RATE ANALYST</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1978</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r>
      <w:r>
        <w:rPr>
          <w:rFonts w:eastAsia="Book Antiqua" w:cs="Book Antiqua" w:ascii="Book Antiqua" w:hAnsi="Book Antiqua"/>
          <w:sz w:val="24"/>
          <w:szCs w:val="24"/>
          <w:u w:val="single"/>
        </w:rPr>
        <w:t>RATE ANALYST</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1977</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r>
      <w:r>
        <w:rPr>
          <w:rFonts w:eastAsia="Book Antiqua" w:cs="Book Antiqua" w:ascii="Book Antiqua" w:hAnsi="Book Antiqua"/>
          <w:sz w:val="24"/>
          <w:szCs w:val="24"/>
          <w:u w:val="single"/>
        </w:rPr>
        <w:t>MANAGEMENT TRAINEE</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t>1976</w:t>
      </w:r>
    </w:p>
    <w:p>
      <w:pPr>
        <w:pStyle w:val="Normal"/>
        <w:ind w:hanging="720" w:start="1440" w:end="0"/>
        <w:jc w:val="both"/>
        <w:rPr>
          <w:rFonts w:ascii="Book Antiqua" w:hAnsi="Book Antiqua" w:eastAsia="Book Antiqua" w:cs="Book Antiqua"/>
          <w:b/>
          <w:bCs/>
          <w:sz w:val="24"/>
          <w:szCs w:val="24"/>
          <w:u w:val="single"/>
        </w:rPr>
      </w:pPr>
      <w:r>
        <w:rPr>
          <w:rFonts w:eastAsia="Book Antiqua" w:cs="Book Antiqua" w:ascii="Book Antiqua" w:hAnsi="Book Antiqua"/>
          <w:sz w:val="24"/>
          <w:szCs w:val="24"/>
        </w:rPr>
        <w:tab/>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t>COMPENSATION</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Mr. Hunter reports that in 1999, he received a base salary of $780,000 and a bonus of 40 percent.</w:t>
      </w:r>
    </w:p>
    <w:sectPr>
      <w:headerReference w:type="default" r:id="rId2"/>
      <w:headerReference w:type="first" r:id="rId3"/>
      <w:footerReference w:type="default" r:id="rId4"/>
      <w:footerReference w:type="first" r:id="rId5"/>
      <w:type w:val="nextPage"/>
      <w:pgSz w:w="12240" w:h="15840"/>
      <w:pgMar w:left="1440" w:right="1440" w:gutter="0" w:header="720" w:top="2304"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w:charset w:val="00" w:characterSet="ibm850"/>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 w:name="Book Antiqua">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t>Michael T. Hunter</w:t>
    </w:r>
  </w:p>
  <w:p>
    <w:pPr>
      <w:pStyle w:val="Header"/>
      <w:jc w:val="end"/>
      <w:rPr>
        <w:rStyle w:val="PageNumber"/>
        <w:rFonts w:ascii="Book Antiqua" w:hAnsi="Book Antiqua" w:eastAsia="Book Antiqua" w:cs="Book Antiqua"/>
        <w:b/>
        <w:bCs/>
        <w:sz w:val="20"/>
        <w:szCs w:val="20"/>
      </w:rPr>
    </w:pPr>
    <w:r>
      <w:rPr>
        <w:rFonts w:eastAsia="Book Antiqua" w:cs="Book Antiqua" w:ascii="Book Antiqua" w:hAnsi="Book Antiqua"/>
        <w:b/>
        <w:bCs/>
        <w:sz w:val="20"/>
        <w:szCs w:val="20"/>
      </w:rPr>
      <w:t xml:space="preserve">Page </w:t>
    </w:r>
    <w:r>
      <w:rPr>
        <w:rStyle w:val="PageNumber"/>
        <w:rFonts w:eastAsia="Book Antiqua" w:cs="Book Antiqua" w:ascii="Book Antiqua" w:hAnsi="Book Antiqua"/>
        <w:b/>
        <w:bCs/>
        <w:sz w:val="20"/>
        <w:szCs w:val="20"/>
      </w:rPr>
      <w:fldChar w:fldCharType="begin"/>
    </w:r>
    <w:r>
      <w:rPr>
        <w:rStyle w:val="PageNumber"/>
        <w:sz w:val="20"/>
        <w:b/>
        <w:szCs w:val="20"/>
        <w:bCs/>
        <w:rFonts w:eastAsia="Book Antiqua" w:cs="Book Antiqua" w:ascii="Book Antiqua" w:hAnsi="Book Antiqua"/>
      </w:rPr>
      <w:instrText xml:space="preserve"> PAGE </w:instrText>
    </w:r>
    <w:r>
      <w:rPr>
        <w:rStyle w:val="PageNumber"/>
        <w:sz w:val="20"/>
        <w:b/>
        <w:szCs w:val="20"/>
        <w:bCs/>
        <w:rFonts w:eastAsia="Book Antiqua" w:cs="Book Antiqua" w:ascii="Book Antiqua" w:hAnsi="Book Antiqua"/>
      </w:rPr>
      <w:fldChar w:fldCharType="separate"/>
    </w:r>
    <w:r>
      <w:rPr>
        <w:rStyle w:val="PageNumber"/>
        <w:sz w:val="20"/>
        <w:b/>
        <w:szCs w:val="20"/>
        <w:bCs/>
        <w:rFonts w:eastAsia="Book Antiqua" w:cs="Book Antiqua" w:ascii="Book Antiqua" w:hAnsi="Book Antiqua"/>
      </w:rPr>
      <w:t>7</w:t>
    </w:r>
    <w:r>
      <w:rPr>
        <w:rStyle w:val="PageNumber"/>
        <w:sz w:val="20"/>
        <w:b/>
        <w:szCs w:val="20"/>
        <w:bCs/>
        <w:rFonts w:eastAsia="Book Antiqua" w:cs="Book Antiqua" w:ascii="Book Antiqua" w:hAnsi="Book Antiqua"/>
      </w:rPr>
      <w:fldChar w:fldCharType="end"/>
    </w:r>
    <w:r>
      <w:rPr>
        <w:rStyle w:val="PageNumber"/>
        <w:rFonts w:eastAsia="Book Antiqua" w:cs="Book Antiqua" w:ascii="Book Antiqua" w:hAnsi="Book Antiqua"/>
        <w:b/>
        <w:bCs/>
        <w:sz w:val="20"/>
        <w:szCs w:val="20"/>
      </w:rPr>
      <w:t xml:space="preserve"> of </w:t>
    </w:r>
    <w:r>
      <w:fldChar w:fldCharType="begin"/>
    </w:r>
    <w:r>
      <w:rPr>
        <w:rStyle w:val="PageNumber"/>
        <w:sz w:val="20"/>
        <w:b/>
        <w:szCs w:val="20"/>
        <w:bCs/>
        <w:rFonts w:eastAsia="Book Antiqua" w:cs="Book Antiqua" w:ascii="Book Antiqua" w:hAnsi="Book Antiqua"/>
        <w:lang w:val="en-CA"/>
      </w:rPr>
      <w:instrText xml:space="preserve"> SECTIONPAGES </w:instrText>
    </w:r>
    <w:r>
      <w:rPr>
        <w:rStyle w:val="PageNumber"/>
        <w:rFonts w:eastAsia="Book Antiqua" w:cs="Book Antiqua" w:ascii="Book Antiqua" w:hAnsi="Book Antiqua"/>
        <w:b/>
        <w:bCs/>
        <w:sz w:val="20"/>
        <w:szCs w:val="20"/>
        <w:lang w:val="en-CA"/>
      </w:rPr>
    </w:r>
    <w:r>
      <w:rPr>
        <w:rStyle w:val="PageNumber"/>
        <w:sz w:val="20"/>
        <w:b/>
        <w:szCs w:val="20"/>
        <w:bCs/>
        <w:rFonts w:eastAsia="Book Antiqua" w:cs="Book Antiqua" w:ascii="Book Antiqua" w:hAnsi="Book Antiqua"/>
        <w:lang w:val="en-CA"/>
      </w:rPr>
      <w:fldChar w:fldCharType="separate"/>
    </w:r>
    <w:r>
      <w:rPr>
        <w:rStyle w:val="PageNumber"/>
        <w:rFonts w:eastAsia="Book Antiqua" w:cs="Book Antiqua" w:ascii="Book Antiqua" w:hAnsi="Book Antiqua"/>
        <w:b/>
        <w:bCs/>
        <w:sz w:val="20"/>
        <w:szCs w:val="20"/>
        <w:lang w:val="en-CA"/>
      </w:rPr>
      <w:t>7</w:t>
    </w:r>
    <w:r/>
    <w:r>
      <w:rPr>
        <w:rStyle w:val="PageNumber"/>
        <w:sz w:val="20"/>
        <w:b/>
        <w:szCs w:val="20"/>
        <w:bCs/>
        <w:rFonts w:eastAsia="Book Antiqua" w:cs="Book Antiqua" w:ascii="Book Antiqua" w:hAnsi="Book Antiqua"/>
        <w:lang w:val="en-CA"/>
      </w:rPr>
      <w:fldChar w:fldCharType="end"/>
    </w:r>
    <w:r>
      <w:rPr>
        <w:rStyle w:val="PageNumber"/>
        <w:rFonts w:eastAsia="Book Antiqua" w:cs="Book Antiqua" w:ascii="Book Antiqua" w:hAnsi="Book Antiqua"/>
        <w:b/>
        <w:bCs/>
        <w:sz w:val="20"/>
        <w:szCs w:val="20"/>
        <w:lang w:val="en-CA"/>
      </w:rPr>
    </w:r>
  </w:p>
  <w:p>
    <w:pPr>
      <w:pStyle w:val="Normal"/>
      <w:tabs>
        <w:tab w:val="clear" w:pos="720"/>
        <w:tab w:val="left" w:pos="-720" w:leader="none"/>
      </w:tabs>
      <w:suppressAutoHyphens w:val="true"/>
      <w:jc w:val="end"/>
      <w:rPr>
        <w:rStyle w:val="PageNumber"/>
        <w:rFonts w:ascii="Book Antiqua" w:hAnsi="Book Antiqua" w:eastAsia="Book Antiqua" w:cs="Book Antiqua"/>
        <w:b/>
        <w:bCs/>
        <w:sz w:val="20"/>
        <w:szCs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mc:AlternateContent>
        <mc:Choice Requires="wps">
          <w:drawing>
            <wp:anchor behindDoc="0" distT="0" distB="0" distL="0" distR="0" simplePos="0" locked="0" layoutInCell="1" allowOverlap="1" relativeHeight="22">
              <wp:simplePos x="0" y="0"/>
              <wp:positionH relativeFrom="column">
                <wp:posOffset>-63500</wp:posOffset>
              </wp:positionH>
              <wp:positionV relativeFrom="paragraph">
                <wp:posOffset>164465</wp:posOffset>
              </wp:positionV>
              <wp:extent cx="505460" cy="986790"/>
              <wp:effectExtent l="0" t="0" r="0" b="133985"/>
              <wp:wrapNone/>
              <wp:docPr id="1"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drawing>
        <wp:inline distT="0" distB="0" distL="0" distR="0">
          <wp:extent cx="477520" cy="6953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29">
              <wp:simplePos x="0" y="0"/>
              <wp:positionH relativeFrom="column">
                <wp:posOffset>-1188720</wp:posOffset>
              </wp:positionH>
              <wp:positionV relativeFrom="paragraph">
                <wp:posOffset>548640</wp:posOffset>
              </wp:positionV>
              <wp:extent cx="7820025" cy="0"/>
              <wp:effectExtent l="3175" t="3175" r="3175" b="3175"/>
              <wp:wrapNone/>
              <wp:docPr id="3"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w:drawing>
        <wp:inline distT="0" distB="0" distL="0" distR="0">
          <wp:extent cx="477520" cy="69532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9">
              <wp:simplePos x="0" y="0"/>
              <wp:positionH relativeFrom="column">
                <wp:posOffset>-1097280</wp:posOffset>
              </wp:positionH>
              <wp:positionV relativeFrom="paragraph">
                <wp:posOffset>274320</wp:posOffset>
              </wp:positionV>
              <wp:extent cx="7706360" cy="210185"/>
              <wp:effectExtent l="0" t="0" r="0" b="0"/>
              <wp:wrapNone/>
              <wp:docPr id="5"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6">
              <wp:simplePos x="0" y="0"/>
              <wp:positionH relativeFrom="column">
                <wp:posOffset>-63500</wp:posOffset>
              </wp:positionH>
              <wp:positionV relativeFrom="paragraph">
                <wp:posOffset>164465</wp:posOffset>
              </wp:positionV>
              <wp:extent cx="505460" cy="986790"/>
              <wp:effectExtent l="0" t="0" r="0" b="133985"/>
              <wp:wrapNone/>
              <wp:docPr id="6"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23">
              <wp:simplePos x="0" y="0"/>
              <wp:positionH relativeFrom="column">
                <wp:posOffset>-1188720</wp:posOffset>
              </wp:positionH>
              <wp:positionV relativeFrom="paragraph">
                <wp:posOffset>548640</wp:posOffset>
              </wp:positionV>
              <wp:extent cx="7820025" cy="0"/>
              <wp:effectExtent l="3175" t="3175" r="3175" b="3175"/>
              <wp:wrapNone/>
              <wp:docPr id="7"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Roman" w:hAnsi="Roman" w:eastAsia="Roman" w:cs="Roman"/>
      <w:color w:val="auto"/>
      <w:sz w:val="25"/>
      <w:szCs w:val="25"/>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widowControl w:val="false"/>
      <w:numPr>
        <w:ilvl w:val="1"/>
        <w:numId w:val="1"/>
      </w:numPr>
      <w:outlineLvl w:val="1"/>
    </w:pPr>
    <w:rPr>
      <w:rFonts w:ascii="Times New Roman" w:hAnsi="Times New Roman" w:eastAsia="Times New Roman" w:cs="Times New Roman"/>
      <w:sz w:val="24"/>
      <w:szCs w:val="24"/>
      <w:lang w:val="en-AU"/>
    </w:rPr>
  </w:style>
  <w:style w:type="paragraph" w:styleId="Heading5">
    <w:name w:val="heading 5"/>
    <w:basedOn w:val="Normal"/>
    <w:next w:val="Normal"/>
    <w:qFormat/>
    <w:pPr>
      <w:keepNext w:val="true"/>
      <w:widowControl w:val="false"/>
      <w:numPr>
        <w:ilvl w:val="4"/>
        <w:numId w:val="1"/>
      </w:numPr>
      <w:outlineLvl w:val="4"/>
    </w:pPr>
    <w:rPr>
      <w:rFonts w:ascii="Times New Roman" w:hAnsi="Times New Roman" w:eastAsia="Times New Roman" w:cs="Times New Roman"/>
      <w:b/>
      <w:bCs/>
      <w:sz w:val="24"/>
      <w:szCs w:val="24"/>
      <w:lang w:val="en-AU"/>
    </w:rPr>
  </w:style>
  <w:style w:type="paragraph" w:styleId="Heading6">
    <w:name w:val="heading 6"/>
    <w:basedOn w:val="Normal"/>
    <w:next w:val="Normal"/>
    <w:qFormat/>
    <w:pPr>
      <w:keepNext w:val="true"/>
      <w:widowControl w:val="false"/>
      <w:numPr>
        <w:ilvl w:val="5"/>
        <w:numId w:val="1"/>
      </w:numPr>
      <w:ind w:hanging="0" w:start="720" w:end="0"/>
      <w:outlineLvl w:val="5"/>
    </w:pPr>
    <w:rPr>
      <w:rFonts w:ascii="Times New Roman" w:hAnsi="Times New Roman" w:eastAsia="Times New Roman" w:cs="Times New Roman"/>
      <w:b/>
      <w:bCs/>
      <w:i/>
      <w:iCs/>
      <w:sz w:val="24"/>
      <w:szCs w:val="24"/>
    </w:rPr>
  </w:style>
  <w:style w:type="paragraph" w:styleId="Heading7">
    <w:name w:val="heading 7"/>
    <w:basedOn w:val="Normal"/>
    <w:next w:val="Normal"/>
    <w:qFormat/>
    <w:pPr>
      <w:keepNext w:val="true"/>
      <w:widowControl w:val="false"/>
      <w:numPr>
        <w:ilvl w:val="6"/>
        <w:numId w:val="1"/>
      </w:numPr>
      <w:ind w:hanging="720" w:start="720" w:end="0"/>
      <w:jc w:val="both"/>
      <w:outlineLvl w:val="6"/>
    </w:pPr>
    <w:rPr>
      <w:rFonts w:ascii="Times New Roman" w:hAnsi="Times New Roman" w:eastAsia="Times New Roman" w:cs="Times New Roman"/>
      <w:b/>
      <w:bCs/>
      <w:i/>
      <w:iCs/>
      <w:sz w:val="24"/>
      <w:szCs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Style9">
    <w:name w:val="À&quot;_x0006_À"/>
    <w:basedOn w:val="DefaultParagraphFont"/>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Times New Roman" w:hAnsi="Times New Roman" w:eastAsia="Times New Roman" w:cs="Times New Roman"/>
      <w:sz w:val="20"/>
      <w:szCs w:val="20"/>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itlehdr">
    <w:name w:val="Titlehdr"/>
    <w:basedOn w:val="Normal"/>
    <w:qFormat/>
    <w:pPr>
      <w:ind w:hanging="0" w:start="1440" w:end="0"/>
    </w:pPr>
    <w:rPr>
      <w:rFonts w:ascii="Times New Roman" w:hAnsi="Times New Roman" w:eastAsia="Times New Roman" w:cs="Times New Roman"/>
      <w:sz w:val="26"/>
      <w:szCs w:val="26"/>
    </w:rPr>
  </w:style>
  <w:style w:type="paragraph" w:styleId="Comphdr">
    <w:name w:val="Comphdr"/>
    <w:basedOn w:val="Normal"/>
    <w:qFormat/>
    <w:pPr>
      <w:ind w:hanging="0" w:start="720" w:end="0"/>
    </w:pPr>
    <w:rPr>
      <w:rFonts w:ascii="Times New Roman" w:hAnsi="Times New Roman" w:eastAsia="Times New Roman" w:cs="Times New Roman"/>
      <w:sz w:val="26"/>
      <w:szCs w:val="26"/>
      <w:u w:val="single"/>
    </w:rPr>
  </w:style>
  <w:style w:type="paragraph" w:styleId="Mainhdr">
    <w:name w:val="Mainhdr"/>
    <w:basedOn w:val="Heading1"/>
    <w:qFormat/>
    <w:pPr>
      <w:numPr>
        <w:ilvl w:val="0"/>
        <w:numId w:val="0"/>
      </w:numPr>
      <w:outlineLvl w:val="9"/>
    </w:pPr>
    <w:rPr>
      <w:rFonts w:ascii="Times New Roman" w:hAnsi="Times New Roman" w:eastAsia="Times New Roman" w:cs="Times New Roman"/>
      <w:kern w:val="0"/>
      <w:sz w:val="26"/>
      <w:szCs w:val="26"/>
      <w:u w:val="single"/>
    </w:rPr>
  </w:style>
  <w:style w:type="paragraph" w:styleId="1COMPANYPARAGRAPH">
    <w:name w:val="1COMPANY PARAGRAPH"/>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1COMPANYADDRESS">
    <w:name w:val="1COMPANY ADDRESS"/>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COMPANYNAME">
    <w:name w:val="COMPANY NAME"/>
    <w:basedOn w:val="Normal"/>
    <w:qFormat/>
    <w:pPr>
      <w:ind w:hanging="0" w:start="720" w:end="0"/>
    </w:pPr>
    <w:rPr>
      <w:rFonts w:ascii="Book Antiqua" w:hAnsi="Book Antiqua" w:eastAsia="Book Antiqua" w:cs="Book Antiqua"/>
      <w:sz w:val="24"/>
      <w:szCs w:val="24"/>
      <w:u w:val="single"/>
    </w:rPr>
  </w:style>
  <w:style w:type="paragraph" w:styleId="CompanyCityandDates">
    <w:name w:val="Company City and Dates"/>
    <w:basedOn w:val="Normal"/>
    <w:qFormat/>
    <w:pPr>
      <w:ind w:hanging="0" w:start="720" w:end="0"/>
    </w:pPr>
    <w:rPr>
      <w:rFonts w:ascii="Book Antiqua" w:hAnsi="Book Antiqua" w:eastAsia="Book Antiqua" w:cs="Book Antiqua"/>
      <w:sz w:val="24"/>
      <w:szCs w:val="24"/>
    </w:rPr>
  </w:style>
  <w:style w:type="paragraph" w:styleId="BodyTextIndent2">
    <w:name w:val="Body Text Indent 2"/>
    <w:basedOn w:val="Normal"/>
    <w:qFormat/>
    <w:pPr>
      <w:widowControl w:val="false"/>
      <w:tabs>
        <w:tab w:val="clear" w:pos="720"/>
        <w:tab w:val="left" w:pos="1980" w:leader="none"/>
        <w:tab w:val="left" w:pos="2340" w:leader="none"/>
        <w:tab w:val="left" w:pos="2700" w:leader="none"/>
        <w:tab w:val="left" w:pos="7212" w:leader="none"/>
      </w:tabs>
      <w:spacing w:lineRule="exact" w:line="260"/>
      <w:ind w:hanging="1980" w:start="1980" w:end="0"/>
    </w:pPr>
    <w:rPr>
      <w:rFonts w:ascii="Book Antiqua" w:hAnsi="Book Antiqua" w:eastAsia="Book Antiqua" w:cs="Book Antiqua"/>
      <w:kern w:val="2"/>
      <w:sz w:val="20"/>
      <w:szCs w:val="20"/>
    </w:rPr>
  </w:style>
  <w:style w:type="paragraph" w:styleId="H3">
    <w:name w:val="H3"/>
    <w:basedOn w:val="Normal"/>
    <w:next w:val="Normal"/>
    <w:qFormat/>
    <w:pPr>
      <w:keepNext w:val="true"/>
      <w:spacing w:before="100" w:after="100"/>
    </w:pPr>
    <w:rPr>
      <w:rFonts w:ascii="Times New Roman" w:hAnsi="Times New Roman" w:eastAsia="Times New Roman" w:cs="Times New Roman"/>
      <w:b/>
      <w:b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2000-02-10T19:39:00Z</dcterms:created>
  <dc:creator>Yvette Horne</dc:creator>
  <dc:description/>
  <dc:language>en-CA</dc:language>
  <cp:lastModifiedBy>Kevin Gaunt</cp:lastModifiedBy>
  <cp:lastPrinted>2000-02-02T15:17:00Z</cp:lastPrinted>
  <dcterms:modified xsi:type="dcterms:W3CDTF">2000-02-16T15:04:00Z</dcterms:modified>
  <cp:revision>17</cp:revision>
  <dc:subject/>
  <dc:title>Position Specification Template</dc:title>
</cp:coreProperties>
</file>