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Hubbard Compressor Station</w:t>
      </w:r>
    </w:p>
    <w:p>
      <w:pPr>
        <w:pStyle w:val="Heading2"/>
        <w:ind w:hanging="0" w:start="0"/>
        <w:jc w:val="center"/>
        <w:rPr/>
      </w:pPr>
      <w:r>
        <w:rPr/>
        <w:t>Amended Restructuring Proposal</w:t>
      </w:r>
    </w:p>
    <w:p>
      <w:pPr>
        <w:pStyle w:val="Normal"/>
        <w:jc w:val="center"/>
        <w:rPr/>
      </w:pPr>
      <w:r>
        <w:rPr/>
        <w:t>June 8, 2000</w:t>
      </w:r>
    </w:p>
    <w:p>
      <w:pPr>
        <w:pStyle w:val="Normal"/>
        <w:rPr/>
      </w:pPr>
      <w:r>
        <w:rPr/>
      </w:r>
    </w:p>
    <w:p>
      <w:pPr>
        <w:pStyle w:val="Normal"/>
        <w:rPr/>
      </w:pPr>
      <w:r>
        <w:rPr>
          <w:b/>
          <w:sz w:val="22"/>
        </w:rPr>
        <w:t>Purpose:</w:t>
      </w:r>
      <w:r>
        <w:rPr>
          <w:sz w:val="22"/>
        </w:rPr>
        <w:t xml:space="preserve"> </w:t>
      </w:r>
    </w:p>
    <w:p>
      <w:pPr>
        <w:pStyle w:val="Normal"/>
        <w:rPr>
          <w:sz w:val="22"/>
        </w:rPr>
      </w:pPr>
      <w:r>
        <w:rPr>
          <w:sz w:val="22"/>
        </w:rPr>
      </w:r>
    </w:p>
    <w:p>
      <w:pPr>
        <w:pStyle w:val="Normal"/>
        <w:rPr>
          <w:sz w:val="22"/>
        </w:rPr>
      </w:pPr>
      <w:r>
        <w:rPr>
          <w:sz w:val="22"/>
        </w:rPr>
        <w:t>To restructure the Hubbard Compressor Station Compression Services Agreement to increase the heat rate and load profile in exchange for a new heat rate and load profile schedule that effectively removes minimum required gas deliveries from the agreement.</w:t>
      </w:r>
    </w:p>
    <w:p>
      <w:pPr>
        <w:pStyle w:val="Normal"/>
        <w:rPr>
          <w:sz w:val="22"/>
        </w:rPr>
      </w:pPr>
      <w:r>
        <w:rPr>
          <w:sz w:val="22"/>
        </w:rPr>
      </w:r>
    </w:p>
    <w:p>
      <w:pPr>
        <w:pStyle w:val="Normal"/>
        <w:rPr>
          <w:b/>
          <w:i/>
          <w:i/>
          <w:smallCaps/>
          <w:sz w:val="22"/>
          <w:u w:val="single"/>
        </w:rPr>
      </w:pPr>
      <w:r>
        <w:rPr>
          <w:b/>
          <w:i/>
          <w:smallCaps/>
          <w:sz w:val="22"/>
          <w:u w:val="single"/>
        </w:rPr>
        <w:t>Note: all gas prices and spreads are notional until booked.</w:t>
      </w:r>
    </w:p>
    <w:p>
      <w:pPr>
        <w:pStyle w:val="Normal"/>
        <w:rPr>
          <w:b/>
          <w:i/>
          <w:i/>
          <w:smallCaps/>
          <w:sz w:val="22"/>
          <w:u w:val="single"/>
        </w:rPr>
      </w:pPr>
      <w:r>
        <w:rPr>
          <w:b/>
          <w:i/>
          <w:smallCaps/>
          <w:sz w:val="22"/>
          <w:u w:val="single"/>
        </w:rPr>
      </w:r>
    </w:p>
    <w:p>
      <w:pPr>
        <w:pStyle w:val="Normal"/>
        <w:rPr>
          <w:b/>
          <w:sz w:val="22"/>
        </w:rPr>
      </w:pPr>
      <w:r>
        <w:rPr>
          <w:b/>
          <w:sz w:val="22"/>
        </w:rPr>
        <w:t>Proposal:</w:t>
      </w:r>
    </w:p>
    <w:p>
      <w:pPr>
        <w:pStyle w:val="Normal"/>
        <w:rPr>
          <w:b/>
          <w:sz w:val="22"/>
        </w:rPr>
      </w:pPr>
      <w:r>
        <w:rPr>
          <w:b/>
          <w:sz w:val="22"/>
        </w:rPr>
      </w:r>
    </w:p>
    <w:p>
      <w:pPr>
        <w:pStyle w:val="BodyTextIndent"/>
        <w:ind w:start="0" w:end="0"/>
        <w:rPr>
          <w:sz w:val="22"/>
        </w:rPr>
      </w:pPr>
      <w:r>
        <w:rPr>
          <w:sz w:val="22"/>
        </w:rPr>
        <w:t xml:space="preserve">This structure increases the heat rate in exchange for a cash payment and a release from minimum volume deliveries, as well as changing the expected load profile to more accurately reflect actual historical usage (Exhibit 1). </w:t>
      </w:r>
    </w:p>
    <w:p>
      <w:pPr>
        <w:pStyle w:val="BodyTextIndent"/>
        <w:ind w:start="0" w:end="0"/>
        <w:rPr>
          <w:sz w:val="22"/>
        </w:rPr>
      </w:pPr>
      <w:r>
        <w:rPr>
          <w:sz w:val="22"/>
        </w:rPr>
      </w:r>
    </w:p>
    <w:p>
      <w:pPr>
        <w:pStyle w:val="BodyTextIndent"/>
        <w:ind w:start="0" w:end="0"/>
        <w:rPr>
          <w:sz w:val="22"/>
        </w:rPr>
      </w:pPr>
      <w:r>
        <w:rPr>
          <w:sz w:val="22"/>
        </w:rPr>
        <w:t>The intent of this proposal is to modify the Compression Services Agreement dated November 1, 1997 (“CSA”) so that article 3.3, “Monthly Fuel Gas Payable”, and article 1.1, “Definitions” results in the following:</w:t>
      </w:r>
    </w:p>
    <w:p>
      <w:pPr>
        <w:pStyle w:val="BodyTextIndent"/>
        <w:ind w:start="0" w:end="0"/>
        <w:rPr>
          <w:sz w:val="22"/>
        </w:rPr>
      </w:pPr>
      <w:r>
        <w:rPr>
          <w:sz w:val="22"/>
        </w:rPr>
      </w:r>
    </w:p>
    <w:p>
      <w:pPr>
        <w:pStyle w:val="BodyTextIndent"/>
        <w:numPr>
          <w:ilvl w:val="0"/>
          <w:numId w:val="2"/>
        </w:numPr>
        <w:tabs>
          <w:tab w:val="clear" w:pos="720"/>
        </w:tabs>
        <w:ind w:hanging="360" w:start="360" w:end="-90"/>
        <w:rPr>
          <w:sz w:val="22"/>
        </w:rPr>
      </w:pPr>
      <w:r>
        <w:rPr>
          <w:sz w:val="22"/>
        </w:rPr>
        <w:t>As of October 1 2000, the “Actual Monthly Fuel Gas Payable” becomes 0.01240 MMBtu/hp-hr when the station load factor is greater than the expected load factor.  The Expected Load Factor is listed in Exhibit 1.  Prior to October 1, 2000, the “Actual Monthly Fuel Gas Payable” remains at the level designated in the current CSA (0.0103 MMBtu/hp-hr).</w:t>
      </w:r>
    </w:p>
    <w:p>
      <w:pPr>
        <w:pStyle w:val="BodyTextIndent"/>
        <w:ind w:start="0" w:end="-90"/>
        <w:rPr>
          <w:sz w:val="22"/>
        </w:rPr>
      </w:pPr>
      <w:r>
        <w:rPr>
          <w:sz w:val="22"/>
        </w:rPr>
      </w:r>
    </w:p>
    <w:p>
      <w:pPr>
        <w:pStyle w:val="BodyTextIndent"/>
        <w:numPr>
          <w:ilvl w:val="0"/>
          <w:numId w:val="2"/>
        </w:numPr>
        <w:tabs>
          <w:tab w:val="clear" w:pos="720"/>
        </w:tabs>
        <w:rPr>
          <w:sz w:val="22"/>
        </w:rPr>
      </w:pPr>
      <w:r>
        <w:rPr>
          <w:sz w:val="22"/>
        </w:rPr>
        <w:t>Include a conversion table that lists the Fuel Gas Payable when the monthly load factor is less than the Expected Load factor.  The Fuel Gas Payable rate will reach a maximum at 15% Load Factor, and will decrease to zero when the Load Factor is zero.</w:t>
      </w:r>
    </w:p>
    <w:p>
      <w:pPr>
        <w:pStyle w:val="BodyTextIndent"/>
        <w:ind w:start="0" w:end="0"/>
        <w:rPr>
          <w:sz w:val="22"/>
        </w:rPr>
      </w:pPr>
      <w:r>
        <w:rPr>
          <w:sz w:val="22"/>
        </w:rPr>
      </w:r>
    </w:p>
    <w:p>
      <w:pPr>
        <w:pStyle w:val="BodyTextIndent"/>
        <w:ind w:start="0" w:end="0"/>
        <w:rPr>
          <w:sz w:val="22"/>
        </w:rPr>
      </w:pPr>
      <w:r>
        <w:rPr>
          <w:sz w:val="22"/>
        </w:rPr>
        <w:t>In addition to removing the minimum required monthly deliveries, ECS will pay Northern $2,000,000 for increasing the Monthly Fuel Gas Payable rate and changing the expected load profile.</w:t>
      </w:r>
    </w:p>
    <w:p>
      <w:pPr>
        <w:pStyle w:val="BodyTextIndent"/>
        <w:ind w:start="0" w:end="0"/>
        <w:rPr>
          <w:b/>
          <w:sz w:val="22"/>
        </w:rPr>
      </w:pPr>
      <w:r>
        <w:rPr>
          <w:b/>
          <w:sz w:val="22"/>
        </w:rPr>
      </w:r>
    </w:p>
    <w:p>
      <w:pPr>
        <w:pStyle w:val="BodyTextIndent"/>
        <w:keepLines/>
        <w:ind w:start="0" w:end="0"/>
        <w:rPr/>
      </w:pPr>
      <w:r>
        <w:rPr>
          <w:sz w:val="22"/>
          <w:u w:val="single"/>
        </w:rPr>
        <w:t>Unwinding Expenses</w:t>
      </w:r>
      <w:r>
        <w:rPr>
          <w:sz w:val="22"/>
        </w:rPr>
        <w:br/>
        <w:br/>
        <w:t>The proposal also encompasses a modification of the CSA so that if the compressor station is operated at a monthly load factor of less than 15% for three consecutive months, the CSA will be terminated.  At termination, Northern will be responsible to pay all termination costs associated with financing of the original payment to Northern, and any and all unwinding costs associated with price hedges put into place to protect the gas price valuations reflected in the cash payments described in this restructuring proposal.  Since unwinding costs are a function of the market price of gas at the time that the hedges are unwound, it is not possible to accurately determine the potential expense at this time.</w:t>
      </w:r>
    </w:p>
    <w:p>
      <w:pPr>
        <w:pStyle w:val="BodyTextIndent"/>
        <w:keepLines/>
        <w:ind w:start="0" w:end="0"/>
        <w:rPr>
          <w:sz w:val="22"/>
        </w:rPr>
      </w:pPr>
      <w:r>
        <w:rPr>
          <w:sz w:val="22"/>
        </w:rPr>
      </w:r>
    </w:p>
    <w:p>
      <w:pPr>
        <w:pStyle w:val="BodyTextIndent"/>
        <w:keepLines/>
        <w:ind w:start="0" w:end="0"/>
        <w:rPr>
          <w:sz w:val="22"/>
        </w:rPr>
      </w:pPr>
      <w:r>
        <w:rPr>
          <w:sz w:val="22"/>
          <w:u w:val="single"/>
        </w:rPr>
        <w:t>Terms</w:t>
      </w:r>
    </w:p>
    <w:p>
      <w:pPr>
        <w:pStyle w:val="BodyTextIndent"/>
        <w:keepLines/>
        <w:ind w:start="0" w:end="0"/>
        <w:rPr>
          <w:sz w:val="22"/>
        </w:rPr>
      </w:pPr>
      <w:r>
        <w:rPr>
          <w:sz w:val="22"/>
        </w:rPr>
      </w:r>
    </w:p>
    <w:p>
      <w:pPr>
        <w:pStyle w:val="BodyTextIndent"/>
        <w:keepLines/>
        <w:ind w:start="0" w:end="0"/>
        <w:rPr>
          <w:sz w:val="22"/>
        </w:rPr>
      </w:pPr>
      <w:r>
        <w:rPr>
          <w:sz w:val="22"/>
        </w:rPr>
        <w:t>The prices and values reflected in this proposal assume that the CSA will be modified and in effect for HP-Hrs consumed during the month of October 2000.  The modification will remain in effect until the termination of the original Compression Services Agreement.</w:t>
      </w:r>
    </w:p>
    <w:p>
      <w:pPr>
        <w:pStyle w:val="BodyTextIndent"/>
        <w:keepLines/>
        <w:ind w:start="0" w:end="0"/>
        <w:rPr>
          <w:sz w:val="22"/>
        </w:rPr>
      </w:pPr>
      <w:r>
        <w:rPr>
          <w:sz w:val="22"/>
        </w:rPr>
      </w:r>
    </w:p>
    <w:p>
      <w:pPr>
        <w:pStyle w:val="BodyTextIndent"/>
        <w:keepLines/>
        <w:ind w:start="0" w:end="0"/>
        <w:rPr>
          <w:sz w:val="22"/>
          <w:u w:val="single"/>
        </w:rPr>
      </w:pPr>
      <w:r>
        <w:rPr>
          <w:sz w:val="22"/>
          <w:u w:val="single"/>
        </w:rPr>
        <w:t>Applicability</w:t>
      </w:r>
    </w:p>
    <w:p>
      <w:pPr>
        <w:pStyle w:val="BodyTextIndent"/>
        <w:keepLines/>
        <w:ind w:start="0" w:end="0"/>
        <w:rPr>
          <w:sz w:val="22"/>
          <w:u w:val="single"/>
        </w:rPr>
      </w:pPr>
      <w:r>
        <w:rPr>
          <w:sz w:val="22"/>
          <w:u w:val="single"/>
        </w:rPr>
      </w:r>
    </w:p>
    <w:p>
      <w:pPr>
        <w:pStyle w:val="BodyTextIndent"/>
        <w:keepLines/>
        <w:ind w:start="0" w:end="0"/>
        <w:rPr>
          <w:sz w:val="22"/>
        </w:rPr>
      </w:pPr>
      <w:r>
        <w:rPr>
          <w:sz w:val="22"/>
        </w:rPr>
        <w:t>This proposal is applicable for one month after the proposal date.</w:t>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keepLines/>
        <w:ind w:start="0" w:end="0"/>
        <w:rPr>
          <w:sz w:val="22"/>
        </w:rPr>
      </w:pPr>
      <w:r>
        <w:rPr>
          <w:sz w:val="22"/>
        </w:rPr>
      </w:r>
    </w:p>
    <w:p>
      <w:pPr>
        <w:pStyle w:val="BodyTextIndent"/>
        <w:ind w:start="0" w:end="0"/>
        <w:rPr>
          <w:sz w:val="22"/>
        </w:rPr>
      </w:pPr>
      <w:r>
        <w:rPr>
          <w:sz w:val="22"/>
        </w:rPr>
      </w:r>
    </w:p>
    <w:p>
      <w:pPr>
        <w:pStyle w:val="BodyTextIndent"/>
        <w:ind w:start="0" w:end="0"/>
        <w:rPr>
          <w:b/>
          <w:sz w:val="22"/>
        </w:rPr>
      </w:pPr>
      <w:r>
        <w:rPr>
          <w:b/>
          <w:sz w:val="22"/>
        </w:rPr>
        <w:t>THIS PROPOSAL IS FOR DISCUSSION PURPOSES ONLY TO FACILITATE THE NEGOTIATION, AND PREPARATION AND EXECUTION OF A DEFINITIVE AGREEMENT.  THIS PROPOSAL IS NOT AN OFFER OR COMMITMENT BY ECS OR ANY AFFILIATE OF ENRON CORP.  ALL PRICES AND TERMS ARE SUJECT TO CHANGE UNTIL SUCH TIME WHEN A DEFINITIVE AGREEMENT MAY BE SIGNED.  THIS PROPOSAL IS NOT INTENDED TO CREATE A BINDING OR ENFORCEABLE AGREEMENT OR CONTRACT OR TO BE COMPLETE AND INCLUSIVE OF ALL THE TERMS OF THE SUBJECT TRANSACTION.  FURTHERMORE, THIS PROPOSAL AND TERM SHEET IS NOT A COMMITMENT OR AGREEMENT TO ENTER INTO A BINDING AGREEMENT OR CONTRACT IN THE FUTURE.</w:t>
      </w:r>
    </w:p>
    <w:p>
      <w:pPr>
        <w:pStyle w:val="BodyTextIndent"/>
        <w:ind w:start="0" w:end="0"/>
        <w:rPr>
          <w:b/>
          <w:sz w:val="22"/>
        </w:rPr>
      </w:pPr>
      <w:r>
        <w:rPr>
          <w:b/>
          <w:sz w:val="22"/>
        </w:rPr>
      </w:r>
      <w:r>
        <w:br w:type="page"/>
      </w:r>
    </w:p>
    <w:p>
      <w:pPr>
        <w:pStyle w:val="BodyTextIndent"/>
        <w:ind w:start="0" w:end="0"/>
        <w:jc w:val="center"/>
        <w:rPr>
          <w:b/>
          <w:sz w:val="22"/>
        </w:rPr>
      </w:pPr>
      <w:r>
        <w:rPr>
          <w:b/>
          <w:sz w:val="22"/>
        </w:rPr>
        <w:t>Exhibit 1</w:t>
      </w:r>
    </w:p>
    <w:p>
      <w:pPr>
        <w:pStyle w:val="BodyTextIndent"/>
        <w:ind w:start="0" w:end="0"/>
        <w:jc w:val="center"/>
        <w:rPr>
          <w:b/>
          <w:sz w:val="22"/>
        </w:rPr>
      </w:pPr>
      <w:r>
        <w:rPr>
          <w:b/>
          <w:sz w:val="22"/>
        </w:rPr>
        <w:t>Expected Load Factor</w:t>
      </w:r>
    </w:p>
    <w:p>
      <w:pPr>
        <w:pStyle w:val="BodyTextIndent"/>
        <w:ind w:start="0" w:end="0"/>
        <w:jc w:val="center"/>
        <w:rPr>
          <w:b/>
          <w:sz w:val="22"/>
        </w:rPr>
      </w:pPr>
      <w:r>
        <w:rPr>
          <w:b/>
          <w:sz w:val="22"/>
        </w:rPr>
      </w:r>
    </w:p>
    <w:p>
      <w:pPr>
        <w:pStyle w:val="BodyTextIndent"/>
        <w:ind w:start="0" w:end="0"/>
        <w:jc w:val="center"/>
        <w:rPr>
          <w:b/>
          <w:sz w:val="22"/>
        </w:rPr>
      </w:pPr>
      <w:r>
        <w:rPr>
          <w:b/>
          <w:sz w:val="22"/>
        </w:rPr>
      </w:r>
    </w:p>
    <w:p>
      <w:pPr>
        <w:pStyle w:val="BodyTextIndent"/>
        <w:tabs>
          <w:tab w:val="clear" w:pos="720"/>
          <w:tab w:val="left" w:pos="2160" w:leader="none"/>
          <w:tab w:val="left" w:pos="2610" w:leader="none"/>
          <w:tab w:val="center" w:pos="5850" w:leader="none"/>
        </w:tabs>
        <w:ind w:start="0" w:end="0"/>
        <w:rPr>
          <w:sz w:val="22"/>
        </w:rPr>
      </w:pPr>
      <w:r>
        <w:rPr>
          <w:sz w:val="22"/>
        </w:rPr>
        <w:tab/>
      </w:r>
      <w:r>
        <w:rPr>
          <w:sz w:val="22"/>
          <w:u w:val="single"/>
        </w:rPr>
        <w:t>Month</w:t>
      </w:r>
      <w:r>
        <w:rPr>
          <w:sz w:val="22"/>
        </w:rPr>
        <w:tab/>
      </w:r>
      <w:r>
        <w:rPr>
          <w:sz w:val="22"/>
          <w:u w:val="single"/>
        </w:rPr>
        <w:t>Load Factor</w:t>
      </w:r>
    </w:p>
    <w:p>
      <w:pPr>
        <w:pStyle w:val="BodyTextIndent"/>
        <w:tabs>
          <w:tab w:val="clear" w:pos="720"/>
          <w:tab w:val="left" w:pos="2160" w:leader="none"/>
          <w:tab w:val="left" w:pos="2610" w:leader="none"/>
          <w:tab w:val="left" w:pos="5670" w:leader="none"/>
        </w:tabs>
        <w:ind w:start="0" w:end="0"/>
        <w:rPr>
          <w:sz w:val="22"/>
        </w:rPr>
      </w:pPr>
      <w:r>
        <w:rPr>
          <w:sz w:val="22"/>
        </w:rPr>
        <w:tab/>
      </w:r>
    </w:p>
    <w:p>
      <w:pPr>
        <w:pStyle w:val="BodyTextIndent"/>
        <w:tabs>
          <w:tab w:val="clear" w:pos="720"/>
          <w:tab w:val="left" w:pos="2160" w:leader="none"/>
          <w:tab w:val="left" w:pos="2610" w:leader="none"/>
          <w:tab w:val="left" w:pos="5670" w:leader="none"/>
        </w:tabs>
        <w:ind w:start="0" w:end="0"/>
        <w:rPr>
          <w:sz w:val="22"/>
        </w:rPr>
      </w:pPr>
      <w:r>
        <w:rPr>
          <w:sz w:val="22"/>
        </w:rPr>
        <w:tab/>
        <w:t>January</w:t>
        <w:tab/>
        <w:t>85%</w:t>
      </w:r>
    </w:p>
    <w:p>
      <w:pPr>
        <w:pStyle w:val="BodyTextIndent"/>
        <w:tabs>
          <w:tab w:val="clear" w:pos="720"/>
          <w:tab w:val="left" w:pos="2160" w:leader="none"/>
          <w:tab w:val="left" w:pos="2610" w:leader="none"/>
          <w:tab w:val="left" w:pos="5670" w:leader="none"/>
        </w:tabs>
        <w:ind w:start="0" w:end="0"/>
        <w:rPr>
          <w:sz w:val="22"/>
        </w:rPr>
      </w:pPr>
      <w:r>
        <w:rPr>
          <w:sz w:val="22"/>
        </w:rPr>
        <w:tab/>
        <w:t>February</w:t>
        <w:tab/>
        <w:t>81.5%</w:t>
      </w:r>
    </w:p>
    <w:p>
      <w:pPr>
        <w:pStyle w:val="BodyTextIndent"/>
        <w:tabs>
          <w:tab w:val="clear" w:pos="720"/>
          <w:tab w:val="left" w:pos="2160" w:leader="none"/>
          <w:tab w:val="left" w:pos="2610" w:leader="none"/>
          <w:tab w:val="left" w:pos="5670" w:leader="none"/>
        </w:tabs>
        <w:ind w:start="0" w:end="0"/>
        <w:rPr>
          <w:sz w:val="22"/>
        </w:rPr>
      </w:pPr>
      <w:r>
        <w:rPr>
          <w:sz w:val="22"/>
        </w:rPr>
        <w:tab/>
        <w:t>March</w:t>
        <w:tab/>
        <w:t>65%</w:t>
      </w:r>
    </w:p>
    <w:p>
      <w:pPr>
        <w:pStyle w:val="BodyTextIndent"/>
        <w:tabs>
          <w:tab w:val="clear" w:pos="720"/>
          <w:tab w:val="left" w:pos="2160" w:leader="none"/>
          <w:tab w:val="left" w:pos="2610" w:leader="none"/>
          <w:tab w:val="left" w:pos="5670" w:leader="none"/>
        </w:tabs>
        <w:ind w:start="0" w:end="0"/>
        <w:rPr>
          <w:sz w:val="22"/>
        </w:rPr>
      </w:pPr>
      <w:r>
        <w:rPr>
          <w:sz w:val="22"/>
        </w:rPr>
        <w:tab/>
        <w:t>April</w:t>
        <w:tab/>
        <w:t>60%</w:t>
      </w:r>
    </w:p>
    <w:p>
      <w:pPr>
        <w:pStyle w:val="BodyTextIndent"/>
        <w:tabs>
          <w:tab w:val="clear" w:pos="720"/>
          <w:tab w:val="left" w:pos="2160" w:leader="none"/>
          <w:tab w:val="left" w:pos="5670" w:leader="none"/>
        </w:tabs>
        <w:ind w:start="0" w:end="0"/>
        <w:rPr>
          <w:sz w:val="22"/>
        </w:rPr>
      </w:pPr>
      <w:r>
        <w:rPr>
          <w:sz w:val="22"/>
        </w:rPr>
        <w:tab/>
        <w:t>May</w:t>
        <w:tab/>
        <w:t>58%</w:t>
      </w:r>
    </w:p>
    <w:p>
      <w:pPr>
        <w:pStyle w:val="BodyTextIndent"/>
        <w:tabs>
          <w:tab w:val="clear" w:pos="720"/>
          <w:tab w:val="left" w:pos="2160" w:leader="none"/>
          <w:tab w:val="left" w:pos="5670" w:leader="none"/>
        </w:tabs>
        <w:ind w:start="0" w:end="0"/>
        <w:rPr>
          <w:sz w:val="22"/>
        </w:rPr>
      </w:pPr>
      <w:r>
        <w:rPr>
          <w:sz w:val="22"/>
        </w:rPr>
        <w:tab/>
        <w:t>June</w:t>
        <w:tab/>
        <w:t>39%</w:t>
      </w:r>
    </w:p>
    <w:p>
      <w:pPr>
        <w:pStyle w:val="BodyTextIndent"/>
        <w:tabs>
          <w:tab w:val="clear" w:pos="720"/>
          <w:tab w:val="left" w:pos="2160" w:leader="none"/>
          <w:tab w:val="left" w:pos="5670" w:leader="none"/>
        </w:tabs>
        <w:ind w:start="0" w:end="0"/>
        <w:rPr>
          <w:sz w:val="22"/>
        </w:rPr>
      </w:pPr>
      <w:r>
        <w:rPr>
          <w:sz w:val="22"/>
        </w:rPr>
        <w:tab/>
        <w:t>July</w:t>
        <w:tab/>
        <w:t>39%</w:t>
      </w:r>
    </w:p>
    <w:p>
      <w:pPr>
        <w:pStyle w:val="BodyTextIndent"/>
        <w:tabs>
          <w:tab w:val="clear" w:pos="720"/>
          <w:tab w:val="left" w:pos="2160" w:leader="none"/>
          <w:tab w:val="left" w:pos="2610" w:leader="none"/>
          <w:tab w:val="left" w:pos="5670" w:leader="none"/>
        </w:tabs>
        <w:ind w:start="0" w:end="0"/>
        <w:rPr>
          <w:sz w:val="22"/>
        </w:rPr>
      </w:pPr>
      <w:r>
        <w:rPr>
          <w:sz w:val="22"/>
        </w:rPr>
        <w:tab/>
        <w:t>August</w:t>
        <w:tab/>
        <w:t>50%</w:t>
      </w:r>
    </w:p>
    <w:p>
      <w:pPr>
        <w:pStyle w:val="BodyTextIndent"/>
        <w:tabs>
          <w:tab w:val="clear" w:pos="720"/>
          <w:tab w:val="left" w:pos="2160" w:leader="none"/>
          <w:tab w:val="left" w:pos="2610" w:leader="none"/>
          <w:tab w:val="left" w:pos="5670" w:leader="none"/>
        </w:tabs>
        <w:ind w:start="0" w:end="0"/>
        <w:rPr>
          <w:sz w:val="22"/>
        </w:rPr>
      </w:pPr>
      <w:r>
        <w:rPr>
          <w:sz w:val="22"/>
        </w:rPr>
        <w:tab/>
        <w:t>September</w:t>
        <w:tab/>
        <w:t>68%</w:t>
      </w:r>
    </w:p>
    <w:p>
      <w:pPr>
        <w:pStyle w:val="BodyTextIndent"/>
        <w:tabs>
          <w:tab w:val="clear" w:pos="720"/>
          <w:tab w:val="left" w:pos="2160" w:leader="none"/>
          <w:tab w:val="left" w:pos="2610" w:leader="none"/>
          <w:tab w:val="left" w:pos="5670" w:leader="none"/>
        </w:tabs>
        <w:ind w:start="0" w:end="0"/>
        <w:rPr>
          <w:sz w:val="22"/>
        </w:rPr>
      </w:pPr>
      <w:r>
        <w:rPr>
          <w:sz w:val="22"/>
        </w:rPr>
        <w:tab/>
        <w:t>October</w:t>
        <w:tab/>
        <w:t>72%</w:t>
      </w:r>
    </w:p>
    <w:p>
      <w:pPr>
        <w:pStyle w:val="BodyTextIndent"/>
        <w:tabs>
          <w:tab w:val="clear" w:pos="720"/>
          <w:tab w:val="left" w:pos="2160" w:leader="none"/>
          <w:tab w:val="left" w:pos="2610" w:leader="none"/>
          <w:tab w:val="left" w:pos="5670" w:leader="none"/>
        </w:tabs>
        <w:ind w:start="0" w:end="0"/>
        <w:rPr>
          <w:sz w:val="22"/>
        </w:rPr>
      </w:pPr>
      <w:r>
        <w:rPr>
          <w:sz w:val="22"/>
        </w:rPr>
        <w:tab/>
        <w:t>November</w:t>
        <w:tab/>
        <w:t>81.5%</w:t>
      </w:r>
    </w:p>
    <w:p>
      <w:pPr>
        <w:pStyle w:val="BodyTextIndent"/>
        <w:tabs>
          <w:tab w:val="clear" w:pos="720"/>
          <w:tab w:val="left" w:pos="2160" w:leader="none"/>
          <w:tab w:val="left" w:pos="2610" w:leader="none"/>
          <w:tab w:val="left" w:pos="5670" w:leader="none"/>
        </w:tabs>
        <w:ind w:start="0" w:end="0"/>
        <w:rPr>
          <w:sz w:val="22"/>
        </w:rPr>
      </w:pPr>
      <w:r>
        <w:rPr>
          <w:sz w:val="22"/>
        </w:rPr>
        <w:tab/>
        <w:t>December</w:t>
        <w:tab/>
        <w:t>85%</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3</w:t>
    </w:r>
    <w:r>
      <w:rPr>
        <w:lang w:eastAsia="en-US"/>
      </w:rPr>
      <w:fldChar w:fldCharType="end"/>
    </w:r>
  </w:p>
  <w:p>
    <w:pPr>
      <w:pStyle w:val="Footer"/>
      <w:jc w:val="end"/>
      <w:rPr/>
    </w:pPr>
    <w:r>
      <w:rPr/>
      <w:t>Enron Compression Services</w:t>
    </w:r>
  </w:p>
  <w:p>
    <w:pPr>
      <w:pStyle w:val="Footer"/>
      <w:jc w:val="end"/>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2"/>
    </w:rPr>
  </w:style>
  <w:style w:type="character" w:styleId="WW8Num1z0">
    <w:name w:val="WW8Num1z0"/>
    <w:qFormat/>
    <w:rPr/>
  </w:style>
  <w:style w:type="character" w:styleId="WW8Num5z0">
    <w:name w:val="WW8Num5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2000-06-08T13:43:00Z</dcterms:created>
  <dc:creator>Davis Thames</dc:creator>
  <dc:description/>
  <dc:language>en-CA</dc:language>
  <cp:lastModifiedBy>Jamie Ginsberg</cp:lastModifiedBy>
  <cp:lastPrinted>2000-03-15T14:02:00Z</cp:lastPrinted>
  <dcterms:modified xsi:type="dcterms:W3CDTF">2000-06-08T16:59:00Z</dcterms:modified>
  <cp:revision>4</cp:revision>
  <dc:subject/>
  <dc:title>Hubbard Compressor Station</dc:title>
</cp:coreProperties>
</file>