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19.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pPr>
      <w:r>
        <w:rPr/>
        <w:t>Contract No. ________________</w:t>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end"/>
        <w:rPr/>
      </w:pPr>
      <w:r>
        <w:rPr/>
      </w:r>
    </w:p>
    <w:p>
      <w:pPr>
        <w:pStyle w:val="Normal"/>
        <w:widowControl/>
        <w:jc w:val="center"/>
        <w:rPr>
          <w:b/>
        </w:rPr>
      </w:pPr>
      <w:r>
        <w:rPr>
          <w:b/>
        </w:rPr>
        <w:t>INTERRUPTIBLE GAS TRANSPORTATION AGREEMENT</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between</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HOUSTON PIPE LINE COMPANY</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and</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t>_________________________________</w:t>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jc w:val="center"/>
        <w:rPr/>
      </w:pPr>
      <w:r>
        <w:rPr/>
      </w:r>
    </w:p>
    <w:p>
      <w:pPr>
        <w:pStyle w:val="Normal"/>
        <w:widowControl/>
        <w:tabs>
          <w:tab w:val="clear" w:pos="720"/>
          <w:tab w:val="left" w:pos="6480" w:leader="none"/>
        </w:tabs>
        <w:jc w:val="start"/>
        <w:rPr/>
      </w:pPr>
      <w:r>
        <w:rPr/>
        <w:tab/>
        <w:t>_____  Intrastate</w:t>
      </w:r>
    </w:p>
    <w:p>
      <w:pPr>
        <w:pStyle w:val="Normal"/>
        <w:widowControl/>
        <w:tabs>
          <w:tab w:val="clear" w:pos="720"/>
          <w:tab w:val="left" w:pos="6480" w:leader="none"/>
        </w:tabs>
        <w:jc w:val="start"/>
        <w:rPr/>
      </w:pPr>
      <w:r>
        <w:rPr/>
        <w:tab/>
        <w:t>_____  NGPA Section 311</w:t>
      </w:r>
    </w:p>
    <w:p>
      <w:pPr>
        <w:pStyle w:val="Normal"/>
        <w:widowControl/>
        <w:tabs>
          <w:tab w:val="clear" w:pos="720"/>
          <w:tab w:val="left" w:pos="6480" w:leader="none"/>
        </w:tabs>
        <w:jc w:val="start"/>
        <w:rPr/>
      </w:pPr>
      <w:r>
        <w:rPr/>
        <w:tab/>
        <w:t>_____  Section 284.227</w:t>
      </w:r>
    </w:p>
    <w:p>
      <w:pPr>
        <w:pStyle w:val="Normal"/>
        <w:widowControl/>
        <w:jc w:val="center"/>
        <w:rPr/>
      </w:pPr>
      <w:r>
        <w:rPr/>
      </w:r>
      <w:r>
        <w:br w:type="page"/>
      </w:r>
    </w:p>
    <w:p>
      <w:pPr>
        <w:pStyle w:val="Normal"/>
        <w:widowControl/>
        <w:jc w:val="center"/>
        <w:rPr>
          <w:b/>
          <w:sz w:val="32"/>
        </w:rPr>
      </w:pPr>
      <w:r>
        <w:rPr>
          <w:b/>
          <w:sz w:val="32"/>
        </w:rPr>
        <w:t>TABLE OF CONTENTS</w:t>
      </w:r>
    </w:p>
    <w:p>
      <w:pPr>
        <w:pStyle w:val="Normal"/>
        <w:widowControl/>
        <w:pBdr>
          <w:bottom w:val="single" w:sz="12" w:space="1" w:color="000000"/>
        </w:pBdr>
        <w:jc w:val="center"/>
        <w:rPr>
          <w:b/>
          <w:sz w:val="32"/>
        </w:rPr>
      </w:pPr>
      <w:r>
        <w:rPr>
          <w:b/>
          <w:sz w:val="32"/>
        </w:rPr>
      </w:r>
    </w:p>
    <w:sdt>
      <w:sdtPr>
        <w:docPartObj>
          <w:docPartGallery w:val="Table of Contents"/>
          <w:docPartUnique w:val="true"/>
        </w:docPartObj>
      </w:sdtPr>
      <w:sdtContent>
        <w:p>
          <w:pPr>
            <w:pStyle w:val="TOC1"/>
            <w:widowControl/>
            <w:rPr/>
          </w:pPr>
          <w:r>
            <w:fldChar w:fldCharType="begin"/>
          </w:r>
          <w:r>
            <w:rPr/>
            <w:instrText xml:space="preserve">toc \o "1-1" </w:instrText>
          </w:r>
          <w:r>
            <w:rPr/>
            <w:fldChar w:fldCharType="separate"/>
          </w:r>
          <w:r>
            <w:rPr/>
            <w:t>1. REGULATIONS</w:t>
            <w:tab/>
          </w:r>
          <w:r>
            <w:fldChar w:fldCharType="begin"/>
          </w:r>
          <w:r>
            <w:rPr>
              <w:smallCaps w:val="false"/>
              <w:caps w:val="false"/>
            </w:rPr>
            <w:instrText xml:space="preserve">gotobutton _Toc351197746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2. MAXIMUM DAILY TRANSPORTATION QUANTITY</w:t>
            <w:tab/>
          </w:r>
          <w:r>
            <w:fldChar w:fldCharType="begin"/>
          </w:r>
          <w:r>
            <w:rPr>
              <w:smallCaps w:val="false"/>
              <w:caps w:val="false"/>
            </w:rPr>
            <w:instrText xml:space="preserve">gotobutton _Toc351197747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3. RECEIPT POINTS AND DELIVERY POINTS</w:t>
            <w:tab/>
          </w:r>
          <w:r>
            <w:fldChar w:fldCharType="begin"/>
          </w:r>
          <w:r>
            <w:rPr>
              <w:smallCaps w:val="false"/>
              <w:caps w:val="false"/>
            </w:rPr>
            <w:instrText xml:space="preserve">gotobutton _Toc351197748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4. TERM</w:t>
            <w:tab/>
          </w:r>
          <w:r>
            <w:fldChar w:fldCharType="begin"/>
          </w:r>
          <w:r>
            <w:rPr>
              <w:smallCaps w:val="false"/>
              <w:caps w:val="false"/>
            </w:rPr>
            <w:instrText xml:space="preserve">gotobutton _Toc351197749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5. FEE</w:t>
            <w:tab/>
          </w:r>
          <w:r>
            <w:fldChar w:fldCharType="begin"/>
          </w:r>
          <w:r>
            <w:rPr>
              <w:smallCaps w:val="false"/>
              <w:caps w:val="false"/>
            </w:rPr>
            <w:instrText xml:space="preserve">gotobutton _Toc351197750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6. NOTICES</w:t>
            <w:tab/>
          </w:r>
          <w:r>
            <w:fldChar w:fldCharType="begin"/>
          </w:r>
          <w:r>
            <w:rPr>
              <w:smallCaps w:val="false"/>
              <w:caps w:val="false"/>
            </w:rPr>
            <w:instrText xml:space="preserve">gotobutton _Toc351197751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7. WARRANTIES, INDEMNIFICATIONS</w:t>
            <w:tab/>
          </w:r>
          <w:r>
            <w:fldChar w:fldCharType="begin"/>
          </w:r>
          <w:r>
            <w:rPr>
              <w:smallCaps w:val="false"/>
              <w:caps w:val="false"/>
            </w:rPr>
            <w:instrText xml:space="preserve">gotobutton _Toc351197752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8. ATTACHMENTS</w:t>
            <w:tab/>
          </w:r>
          <w:r>
            <w:fldChar w:fldCharType="begin"/>
          </w:r>
          <w:r>
            <w:rPr>
              <w:smallCaps w:val="false"/>
              <w:caps w:val="false"/>
            </w:rPr>
            <w:instrText xml:space="preserve">gotobutton _Toc351197753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p>
        <w:p>
          <w:pPr>
            <w:pStyle w:val="TOC1"/>
            <w:widowControl/>
            <w:rPr/>
          </w:pPr>
          <w:r>
            <w:rPr/>
            <w:t>9. OTHER TERMS AND CONDITIONS</w:t>
            <w:tab/>
          </w:r>
          <w:r>
            <w:fldChar w:fldCharType="begin"/>
          </w:r>
          <w:r>
            <w:rPr>
              <w:smallCaps w:val="false"/>
              <w:caps w:val="false"/>
            </w:rPr>
            <w:instrText xml:space="preserve">gotobutton _Toc351197754  </w:instrText>
          </w:r>
          <w:r>
            <w:rPr>
              <w:caps w:val="false"/>
              <w:smallCaps w:val="false"/>
            </w:rPr>
          </w:r>
          <w:r>
            <w:rPr>
              <w:smallCaps w:val="false"/>
              <w:caps w:val="false"/>
            </w:rPr>
            <w:fldChar w:fldCharType="separate"/>
          </w:r>
          <w:r>
            <w:rPr>
              <w:caps w:val="false"/>
              <w:smallCaps w:val="false"/>
            </w:rPr>
          </w:r>
          <w:r/>
          <w:r>
            <w:rPr>
              <w:smallCaps w:val="false"/>
              <w:caps w:val="false"/>
            </w:rPr>
            <w:fldChar w:fldCharType="end"/>
          </w:r>
          <w:r>
            <w:rPr>
              <w:caps w:val="false"/>
              <w:smallCaps w:val="false"/>
            </w:rPr>
          </w:r>
          <w:r>
            <w:rPr>
              <w:smallCaps w:val="false"/>
              <w:caps w:val="false"/>
            </w:rPr>
            <w:fldChar w:fldCharType="end"/>
          </w:r>
        </w:p>
      </w:sdtContent>
    </w:sdt>
    <w:p>
      <w:pPr>
        <w:pStyle w:val="Normal"/>
        <w:widowControl/>
        <w:tabs>
          <w:tab w:val="clear" w:pos="720"/>
          <w:tab w:val="left" w:pos="1440" w:leader="none"/>
          <w:tab w:val="left" w:pos="8208" w:leader="dot"/>
        </w:tabs>
        <w:jc w:val="center"/>
        <w:rPr>
          <w:b/>
        </w:rPr>
      </w:pPr>
      <w:r>
        <w:rPr>
          <w:b/>
        </w:rPr>
        <w:t>APPENDIX "A"</w:t>
      </w:r>
    </w:p>
    <w:p>
      <w:pPr>
        <w:pStyle w:val="Normal"/>
        <w:widowControl/>
        <w:tabs>
          <w:tab w:val="clear" w:pos="720"/>
          <w:tab w:val="left" w:pos="1440" w:leader="none"/>
          <w:tab w:val="left" w:pos="8208" w:leader="dot"/>
        </w:tabs>
        <w:ind w:start="720" w:end="0"/>
        <w:rPr>
          <w:caps/>
        </w:rPr>
      </w:pPr>
      <w:r>
        <w:rPr>
          <w:caps/>
        </w:rPr>
        <w:t>1.</w:t>
        <w:tab/>
        <w:t>Definitions</w:t>
        <w:tab/>
        <w:t>a-1</w:t>
      </w:r>
    </w:p>
    <w:p>
      <w:pPr>
        <w:pStyle w:val="Normal"/>
        <w:widowControl/>
        <w:tabs>
          <w:tab w:val="clear" w:pos="720"/>
          <w:tab w:val="left" w:pos="1440" w:leader="none"/>
          <w:tab w:val="left" w:pos="8208" w:leader="dot"/>
        </w:tabs>
        <w:ind w:start="720" w:end="0"/>
        <w:rPr>
          <w:caps/>
        </w:rPr>
      </w:pPr>
      <w:r>
        <w:rPr>
          <w:caps/>
        </w:rPr>
        <w:t>2.</w:t>
        <w:tab/>
        <w:t>Receipt and Delivery of Gas</w:t>
        <w:tab/>
        <w:t>a-1</w:t>
      </w:r>
    </w:p>
    <w:p>
      <w:pPr>
        <w:pStyle w:val="Normal"/>
        <w:widowControl/>
        <w:tabs>
          <w:tab w:val="clear" w:pos="720"/>
          <w:tab w:val="left" w:pos="1440" w:leader="none"/>
          <w:tab w:val="left" w:pos="8208" w:leader="dot"/>
        </w:tabs>
        <w:ind w:start="720" w:end="0"/>
        <w:rPr>
          <w:caps/>
        </w:rPr>
      </w:pPr>
      <w:r>
        <w:rPr>
          <w:caps/>
        </w:rPr>
        <w:t>3.</w:t>
        <w:tab/>
        <w:t>Nomination and Scheduling</w:t>
        <w:tab/>
        <w:t>a-2</w:t>
      </w:r>
    </w:p>
    <w:p>
      <w:pPr>
        <w:pStyle w:val="Normal"/>
        <w:widowControl/>
        <w:tabs>
          <w:tab w:val="clear" w:pos="720"/>
          <w:tab w:val="left" w:pos="1440" w:leader="none"/>
          <w:tab w:val="left" w:pos="8208" w:leader="dot"/>
        </w:tabs>
        <w:ind w:start="720" w:end="0"/>
        <w:rPr>
          <w:caps/>
        </w:rPr>
      </w:pPr>
      <w:r>
        <w:rPr>
          <w:caps/>
        </w:rPr>
        <w:t>4.</w:t>
        <w:tab/>
        <w:t>Allocations</w:t>
        <w:tab/>
        <w:t>a-2</w:t>
      </w:r>
    </w:p>
    <w:p>
      <w:pPr>
        <w:pStyle w:val="Normal"/>
        <w:widowControl/>
        <w:tabs>
          <w:tab w:val="clear" w:pos="720"/>
          <w:tab w:val="left" w:pos="1440" w:leader="none"/>
          <w:tab w:val="left" w:pos="8208" w:leader="dot"/>
        </w:tabs>
        <w:ind w:start="720" w:end="0"/>
        <w:rPr>
          <w:caps/>
        </w:rPr>
      </w:pPr>
      <w:r>
        <w:rPr>
          <w:caps/>
        </w:rPr>
        <w:t>5.</w:t>
        <w:tab/>
        <w:t>Scheduling Deviations</w:t>
        <w:tab/>
        <w:t>a-3</w:t>
      </w:r>
    </w:p>
    <w:p>
      <w:pPr>
        <w:pStyle w:val="Normal"/>
        <w:widowControl/>
        <w:tabs>
          <w:tab w:val="clear" w:pos="720"/>
          <w:tab w:val="left" w:pos="1440" w:leader="none"/>
          <w:tab w:val="left" w:pos="8208" w:leader="dot"/>
        </w:tabs>
        <w:ind w:start="720" w:end="0"/>
        <w:rPr>
          <w:caps/>
        </w:rPr>
      </w:pPr>
      <w:r>
        <w:rPr>
          <w:caps/>
        </w:rPr>
        <w:t>6.</w:t>
        <w:tab/>
        <w:t>Contract Balancing</w:t>
        <w:tab/>
        <w:t>a-3</w:t>
      </w:r>
    </w:p>
    <w:p>
      <w:pPr>
        <w:pStyle w:val="Normal"/>
        <w:widowControl/>
        <w:tabs>
          <w:tab w:val="clear" w:pos="720"/>
          <w:tab w:val="left" w:pos="1440" w:leader="none"/>
          <w:tab w:val="left" w:pos="8208" w:leader="dot"/>
        </w:tabs>
        <w:ind w:start="720" w:end="0"/>
        <w:rPr>
          <w:caps/>
        </w:rPr>
      </w:pPr>
      <w:r>
        <w:rPr>
          <w:caps/>
        </w:rPr>
        <w:t>7.</w:t>
        <w:tab/>
        <w:t>Ownership and Control</w:t>
        <w:tab/>
        <w:t>a-3</w:t>
      </w:r>
    </w:p>
    <w:p>
      <w:pPr>
        <w:pStyle w:val="Normal"/>
        <w:widowControl/>
        <w:tabs>
          <w:tab w:val="clear" w:pos="720"/>
          <w:tab w:val="left" w:pos="1440" w:leader="none"/>
          <w:tab w:val="left" w:pos="8208" w:leader="dot"/>
        </w:tabs>
        <w:ind w:start="720" w:end="0"/>
        <w:rPr>
          <w:caps/>
        </w:rPr>
      </w:pPr>
      <w:r>
        <w:rPr>
          <w:caps/>
        </w:rPr>
        <w:t>8.</w:t>
        <w:tab/>
        <w:t>Pressures</w:t>
        <w:tab/>
        <w:t>a-3</w:t>
      </w:r>
    </w:p>
    <w:p>
      <w:pPr>
        <w:pStyle w:val="Normal"/>
        <w:widowControl/>
        <w:tabs>
          <w:tab w:val="clear" w:pos="720"/>
          <w:tab w:val="left" w:pos="1440" w:leader="none"/>
          <w:tab w:val="left" w:pos="8208" w:leader="dot"/>
        </w:tabs>
        <w:ind w:start="720" w:end="0"/>
        <w:rPr>
          <w:caps/>
        </w:rPr>
      </w:pPr>
      <w:r>
        <w:rPr>
          <w:caps/>
        </w:rPr>
        <w:t>9.</w:t>
        <w:tab/>
        <w:t>Quality</w:t>
        <w:tab/>
        <w:t>a-4</w:t>
      </w:r>
    </w:p>
    <w:p>
      <w:pPr>
        <w:pStyle w:val="Normal"/>
        <w:widowControl/>
        <w:tabs>
          <w:tab w:val="clear" w:pos="720"/>
          <w:tab w:val="left" w:pos="1440" w:leader="none"/>
          <w:tab w:val="left" w:pos="8208" w:leader="dot"/>
        </w:tabs>
        <w:ind w:start="720" w:end="0"/>
        <w:rPr>
          <w:caps/>
        </w:rPr>
      </w:pPr>
      <w:r>
        <w:rPr>
          <w:caps/>
        </w:rPr>
        <w:t>10.</w:t>
        <w:tab/>
        <w:t>Metering Facilities and Measurement</w:t>
        <w:tab/>
        <w:t>a-5</w:t>
      </w:r>
    </w:p>
    <w:p>
      <w:pPr>
        <w:pStyle w:val="Normal"/>
        <w:widowControl/>
        <w:tabs>
          <w:tab w:val="clear" w:pos="720"/>
          <w:tab w:val="left" w:pos="1440" w:leader="none"/>
          <w:tab w:val="left" w:pos="8208" w:leader="dot"/>
        </w:tabs>
        <w:ind w:start="720" w:end="0"/>
        <w:rPr>
          <w:caps/>
        </w:rPr>
      </w:pPr>
      <w:r>
        <w:rPr>
          <w:caps/>
        </w:rPr>
        <w:t>11.</w:t>
        <w:tab/>
        <w:t>Meter Test</w:t>
        <w:tab/>
        <w:t>a-6</w:t>
      </w:r>
    </w:p>
    <w:p>
      <w:pPr>
        <w:pStyle w:val="Normal"/>
        <w:widowControl/>
        <w:tabs>
          <w:tab w:val="clear" w:pos="720"/>
          <w:tab w:val="left" w:pos="1440" w:leader="none"/>
          <w:tab w:val="left" w:pos="8208" w:leader="dot"/>
        </w:tabs>
        <w:ind w:start="720" w:end="0"/>
        <w:rPr>
          <w:caps/>
        </w:rPr>
      </w:pPr>
      <w:r>
        <w:rPr>
          <w:caps/>
        </w:rPr>
        <w:t>12.</w:t>
        <w:tab/>
        <w:t>Force Majeure</w:t>
        <w:tab/>
        <w:t>a-7</w:t>
      </w:r>
    </w:p>
    <w:p>
      <w:pPr>
        <w:pStyle w:val="Normal"/>
        <w:widowControl/>
        <w:tabs>
          <w:tab w:val="clear" w:pos="720"/>
          <w:tab w:val="left" w:pos="1440" w:leader="none"/>
          <w:tab w:val="left" w:pos="8208" w:leader="dot"/>
        </w:tabs>
        <w:ind w:start="720" w:end="0"/>
        <w:rPr>
          <w:caps/>
        </w:rPr>
      </w:pPr>
      <w:r>
        <w:rPr>
          <w:caps/>
        </w:rPr>
        <w:t>13.</w:t>
        <w:tab/>
        <w:t>Billing and Payment</w:t>
        <w:tab/>
        <w:t>a-9</w:t>
      </w:r>
    </w:p>
    <w:p>
      <w:pPr>
        <w:pStyle w:val="Normal"/>
        <w:widowControl/>
        <w:tabs>
          <w:tab w:val="clear" w:pos="720"/>
          <w:tab w:val="left" w:pos="1440" w:leader="none"/>
          <w:tab w:val="left" w:pos="8208" w:leader="dot"/>
        </w:tabs>
        <w:ind w:start="720" w:end="0"/>
        <w:rPr>
          <w:caps/>
        </w:rPr>
      </w:pPr>
      <w:r>
        <w:rPr>
          <w:caps/>
        </w:rPr>
        <w:t>14.</w:t>
        <w:tab/>
        <w:t>Assignment</w:t>
        <w:tab/>
        <w:t>a-9</w:t>
      </w:r>
    </w:p>
    <w:p>
      <w:pPr>
        <w:pStyle w:val="Normal"/>
        <w:widowControl/>
        <w:tabs>
          <w:tab w:val="clear" w:pos="720"/>
          <w:tab w:val="left" w:pos="1440" w:leader="none"/>
          <w:tab w:val="left" w:pos="8208" w:leader="dot"/>
        </w:tabs>
        <w:ind w:start="720" w:end="0"/>
        <w:rPr>
          <w:caps/>
        </w:rPr>
      </w:pPr>
      <w:r>
        <w:rPr>
          <w:caps/>
        </w:rPr>
        <w:t>15.</w:t>
        <w:tab/>
        <w:t>Taxes</w:t>
        <w:tab/>
        <w:t>a-10</w:t>
      </w:r>
    </w:p>
    <w:p>
      <w:pPr>
        <w:pStyle w:val="Normal"/>
        <w:widowControl/>
        <w:tabs>
          <w:tab w:val="clear" w:pos="720"/>
          <w:tab w:val="left" w:pos="1440" w:leader="none"/>
          <w:tab w:val="left" w:pos="8208" w:leader="dot"/>
        </w:tabs>
        <w:ind w:start="720" w:end="0"/>
        <w:rPr>
          <w:caps/>
        </w:rPr>
      </w:pPr>
      <w:r>
        <w:rPr>
          <w:caps/>
        </w:rPr>
        <w:t>16.</w:t>
        <w:tab/>
        <w:t>Applicable Law</w:t>
        <w:tab/>
        <w:t>a-10</w:t>
      </w:r>
    </w:p>
    <w:p>
      <w:pPr>
        <w:pStyle w:val="Normal"/>
        <w:widowControl/>
        <w:tabs>
          <w:tab w:val="clear" w:pos="720"/>
          <w:tab w:val="left" w:pos="1440" w:leader="none"/>
          <w:tab w:val="left" w:pos="8208" w:leader="dot"/>
        </w:tabs>
        <w:ind w:start="720" w:end="0"/>
        <w:rPr>
          <w:caps/>
        </w:rPr>
      </w:pPr>
      <w:r>
        <w:rPr>
          <w:caps/>
        </w:rPr>
        <w:t>17.</w:t>
        <w:tab/>
        <w:t>Governmental Regulations</w:t>
        <w:tab/>
        <w:t>a-10</w:t>
      </w:r>
    </w:p>
    <w:p>
      <w:pPr>
        <w:pStyle w:val="Normal"/>
        <w:widowControl/>
        <w:tabs>
          <w:tab w:val="clear" w:pos="720"/>
          <w:tab w:val="left" w:pos="1440" w:leader="none"/>
          <w:tab w:val="left" w:pos="8208" w:leader="dot"/>
        </w:tabs>
        <w:ind w:start="720" w:end="0"/>
        <w:rPr>
          <w:caps/>
        </w:rPr>
      </w:pPr>
      <w:r>
        <w:rPr>
          <w:caps/>
        </w:rPr>
        <w:t>18.</w:t>
        <w:tab/>
        <w:t>Miscellaneous</w:t>
        <w:tab/>
        <w:t>a-10</w:t>
      </w:r>
    </w:p>
    <w:p>
      <w:pPr>
        <w:pStyle w:val="Normal"/>
        <w:widowControl/>
        <w:tabs>
          <w:tab w:val="clear" w:pos="720"/>
          <w:tab w:val="left" w:pos="1440" w:leader="none"/>
          <w:tab w:val="left" w:pos="8208" w:leader="dot"/>
        </w:tabs>
        <w:ind w:start="720" w:end="0"/>
        <w:jc w:val="start"/>
        <w:rPr>
          <w:caps/>
        </w:rPr>
      </w:pPr>
      <w:r>
        <w:rPr>
          <w:caps/>
        </w:rPr>
      </w:r>
    </w:p>
    <w:p>
      <w:pPr>
        <w:pStyle w:val="Normal"/>
        <w:widowControl/>
        <w:tabs>
          <w:tab w:val="clear" w:pos="720"/>
          <w:tab w:val="left" w:pos="1440" w:leader="none"/>
          <w:tab w:val="left" w:pos="7920" w:leader="none"/>
        </w:tabs>
        <w:ind w:start="720" w:end="0"/>
        <w:jc w:val="start"/>
        <w:rPr>
          <w:b/>
        </w:rPr>
      </w:pPr>
      <w:r>
        <w:rPr>
          <w:b/>
        </w:rPr>
        <w:t>EXHIBIT "A"</w:t>
      </w:r>
    </w:p>
    <w:p>
      <w:pPr>
        <w:pStyle w:val="Normal"/>
        <w:widowControl/>
        <w:tabs>
          <w:tab w:val="clear" w:pos="720"/>
          <w:tab w:val="left" w:pos="1440" w:leader="none"/>
          <w:tab w:val="left" w:pos="7920" w:leader="none"/>
        </w:tabs>
        <w:ind w:start="720" w:end="0"/>
        <w:jc w:val="start"/>
        <w:rPr>
          <w:b/>
        </w:rPr>
      </w:pPr>
      <w:r>
        <w:rPr>
          <w:b/>
        </w:rPr>
        <w:t>EXHIBIT "B"</w:t>
      </w:r>
    </w:p>
    <w:p>
      <w:pPr>
        <w:sectPr>
          <w:footerReference w:type="default" r:id="rId2"/>
          <w:type w:val="nextPage"/>
          <w:pgSz w:w="12240" w:h="15840"/>
          <w:pgMar w:left="1440" w:right="1440" w:gutter="0" w:header="0" w:top="1440" w:footer="720" w:bottom="864"/>
          <w:pgNumType w:fmt="decimal"/>
          <w:formProt w:val="false"/>
          <w:textDirection w:val="lrTb"/>
          <w:docGrid w:type="default" w:linePitch="360" w:charSpace="0"/>
        </w:sectPr>
        <w:pStyle w:val="Normal"/>
        <w:widowControl/>
        <w:tabs>
          <w:tab w:val="clear" w:pos="720"/>
          <w:tab w:val="left" w:pos="1440" w:leader="none"/>
          <w:tab w:val="left" w:pos="7920" w:leader="none"/>
        </w:tabs>
        <w:ind w:start="720" w:end="0"/>
        <w:jc w:val="start"/>
        <w:rPr>
          <w:b/>
        </w:rPr>
      </w:pPr>
      <w:r>
        <w:rPr>
          <w:b/>
        </w:rPr>
        <w:t>EXHIBIT "C"</w:t>
      </w:r>
    </w:p>
    <w:p>
      <w:pPr>
        <w:pStyle w:val="Normal"/>
        <w:widowControl/>
        <w:jc w:val="center"/>
        <w:rPr>
          <w:b/>
          <w:sz w:val="30"/>
        </w:rPr>
      </w:pPr>
      <w:r>
        <w:rPr>
          <w:b/>
          <w:sz w:val="30"/>
        </w:rPr>
        <w:t>INTERRUPTIBLE</w:t>
      </w:r>
    </w:p>
    <w:p>
      <w:pPr>
        <w:pStyle w:val="Normal"/>
        <w:widowControl/>
        <w:spacing w:before="0" w:after="240"/>
        <w:jc w:val="center"/>
        <w:rPr>
          <w:b/>
          <w:sz w:val="30"/>
        </w:rPr>
      </w:pPr>
      <w:r>
        <w:rPr>
          <w:b/>
          <w:sz w:val="30"/>
        </w:rPr>
        <w:t>GAS TRANSPORTATION AGREEMENT</w:t>
      </w:r>
    </w:p>
    <w:p>
      <w:pPr>
        <w:pStyle w:val="Normal"/>
        <w:widowControl/>
        <w:ind w:firstLine="720" w:end="0"/>
        <w:rPr/>
      </w:pPr>
      <w:r>
        <w:rPr/>
        <w:t>THIS INTERRUPTIBLE GAS TRANSPORTATION AGREEMENT made and entered into effective and operative as of the ____ day of ____________, 19___, by and between ______________________, a ______________, hereinafter referred to as "Shipper", and HOUSTON PIPE LINE COMPANY, a Delaware corporation, hereinafter referred to as "Houston".</w:t>
      </w:r>
    </w:p>
    <w:p>
      <w:pPr>
        <w:pStyle w:val="Expanded"/>
        <w:widowControl/>
        <w:spacing w:before="240" w:after="240"/>
        <w:rPr/>
      </w:pPr>
      <w:r>
        <w:rPr/>
        <w:t>WITNESSETH:</w:t>
      </w:r>
    </w:p>
    <w:p>
      <w:pPr>
        <w:pStyle w:val="Normal"/>
        <w:widowControl/>
        <w:spacing w:before="0" w:after="120"/>
        <w:ind w:firstLine="720" w:end="0"/>
        <w:rPr/>
      </w:pPr>
      <w:r>
        <w:rPr/>
        <w:t>THAT WHEREAS, Shipper owns and controls quantities of Gas and desires to have Houston transport certain quantities of natural gas for Shipper from time to time; and</w:t>
      </w:r>
    </w:p>
    <w:p>
      <w:pPr>
        <w:pStyle w:val="Normal"/>
        <w:widowControl/>
        <w:spacing w:before="0" w:after="120"/>
        <w:ind w:firstLine="720" w:end="0"/>
        <w:rPr/>
      </w:pPr>
      <w:r>
        <w:rPr/>
        <w:t>WHEREAS, Houston has available pipeline facilities in Texas and agrees to receive and transport said Gas for Shipper as hereinafter provided.</w:t>
      </w:r>
    </w:p>
    <w:p>
      <w:pPr>
        <w:pStyle w:val="Normal"/>
        <w:widowControl/>
        <w:ind w:firstLine="720" w:end="0"/>
        <w:rPr/>
      </w:pPr>
      <w:r>
        <w:rPr/>
        <w:t>NOW, THEREFORE, in consideration of the sum of Ten Dollars ($10.00) cash in hand paid by Shipper to Houston and other good and valuable considerations, the receipt and sufficiency of which are hereby acknowledged, the parties hereto have agreed as follows:</w:t>
      </w:r>
    </w:p>
    <w:p>
      <w:pPr>
        <w:pStyle w:val="Heading1"/>
        <w:widowControl/>
        <w:ind w:hanging="0" w:start="0"/>
        <w:rPr/>
      </w:pPr>
      <w:r>
        <w:rPr/>
        <w:fldChar w:fldCharType="begin"/>
      </w:r>
      <w:r>
        <w:rPr/>
        <w:instrText xml:space="preserve"> SEQ AutoNr \* ARABIC </w:instrText>
      </w:r>
      <w:r>
        <w:rPr/>
        <w:fldChar w:fldCharType="separate"/>
      </w:r>
      <w:r>
        <w:rPr/>
        <w:t>1</w:t>
      </w:r>
      <w:r>
        <w:rPr/>
        <w:fldChar w:fldCharType="end"/>
      </w:r>
      <w:r>
        <w:rPr/>
        <w:tab/>
        <w:t>REGULATIONS</w:t>
      </w:r>
    </w:p>
    <w:p>
      <w:pPr>
        <w:pStyle w:val="Normal"/>
        <w:keepNext w:val="true"/>
        <w:widowControl/>
        <w:spacing w:before="0" w:after="120"/>
        <w:ind w:firstLine="720" w:end="0"/>
        <w:rPr/>
      </w:pPr>
      <w:r>
        <w:rPr/>
        <w:t>This Agreement is one of the following (as indicated by the inserted "X"):</w:t>
      </w:r>
    </w:p>
    <w:p>
      <w:pPr>
        <w:pStyle w:val="Normal"/>
        <w:widowControl/>
        <w:spacing w:before="0" w:after="120"/>
        <w:ind w:hanging="1440" w:start="2160" w:end="0"/>
        <w:rPr/>
      </w:pPr>
      <w:r>
        <w:rPr/>
        <w:t>________</w:t>
        <w:tab/>
        <w:t>Intrastate Agreement - The transportation arrangement hereunder is not subject to the Federal Energy Regulatory Commission's ("FERC") regulations under the Natural Gas Act of 1938, as amended ("NGA").</w:t>
      </w:r>
    </w:p>
    <w:p>
      <w:pPr>
        <w:pStyle w:val="Normal"/>
        <w:widowControl/>
        <w:spacing w:before="0" w:after="120"/>
        <w:ind w:hanging="1440" w:start="2160" w:end="0"/>
        <w:rPr/>
      </w:pPr>
      <w:r>
        <w:rPr/>
        <w:t>________</w:t>
        <w:tab/>
        <w:t>NGPA Section 311 Agreement - The transportation arrangement hereunder is (i) subject to the provisions of Subpart C of Part 284 of the FERC's regulations (18 CFR §284.121 et seq.) implementing Section 311(a)(2) of the Natural Gas Policy Act of 1978, as amended ("NGPA"), and (ii) "on behalf of" (A) Shipper (an interstate pipeline or a local distribution company served by an interstate pipeline including a Hinshaw pipeline), (B) one or more of the interstate pipelines as specified by Exhibit "A" or Exhibit "B" hereto ("OBO Party(ies)"), or (C) a local distribution company served by an interstate pipeline.</w:t>
      </w:r>
    </w:p>
    <w:p>
      <w:pPr>
        <w:pStyle w:val="Normal"/>
        <w:keepLines/>
        <w:widowControl/>
        <w:ind w:hanging="1440" w:start="2160" w:end="0"/>
        <w:rPr/>
      </w:pPr>
      <w:r>
        <w:rPr/>
        <w:t>________</w:t>
        <w:tab/>
        <w:t>Section 284.227 Agreement - The transportation arrangement hereunder is subject to Section 284.227 of the FERC's regulations and, to the extent applicable, Subpart C of Part 284 of the FERC's regulations.</w:t>
      </w:r>
    </w:p>
    <w:p>
      <w:pPr>
        <w:pStyle w:val="Heading1"/>
        <w:widowControl/>
        <w:ind w:hanging="0" w:start="0"/>
        <w:rPr/>
      </w:pPr>
      <w:r>
        <w:rPr/>
        <w:fldChar w:fldCharType="begin"/>
      </w:r>
      <w:r>
        <w:rPr/>
        <w:instrText xml:space="preserve"> SEQ AutoNr \* ARABIC </w:instrText>
      </w:r>
      <w:r>
        <w:rPr/>
        <w:fldChar w:fldCharType="separate"/>
      </w:r>
      <w:r>
        <w:rPr/>
        <w:t>2</w:t>
      </w:r>
      <w:r>
        <w:rPr/>
        <w:fldChar w:fldCharType="end"/>
      </w:r>
      <w:r>
        <w:rPr/>
        <w:tab/>
        <w:t>Maximum Daily Transportation Quantity</w:t>
      </w:r>
    </w:p>
    <w:p>
      <w:pPr>
        <w:pStyle w:val="Normal"/>
        <w:widowControl/>
        <w:ind w:firstLine="720" w:end="0"/>
        <w:rPr/>
      </w:pPr>
      <w:r>
        <w:rPr/>
        <w:t>From time to time Shipper may request Houston to receive quantities of Gas from or for the account of Shipper at the Receipt Points set forth on Exhibit "A" attached hereto up to the Maximum Daily Transportation Quantity of ________ MMBtu per Day and transport such Gas to or for the account of Shipper to the Delivery Points set forth in Exhibit "B" attached hereto.  Such Gas shall be transported on a fully interruptible basis.</w:t>
      </w:r>
    </w:p>
    <w:p>
      <w:pPr>
        <w:pStyle w:val="Heading1"/>
        <w:widowControl/>
        <w:ind w:hanging="0" w:start="0"/>
        <w:rPr/>
      </w:pPr>
      <w:r>
        <w:rPr/>
        <w:fldChar w:fldCharType="begin"/>
      </w:r>
      <w:r>
        <w:rPr/>
        <w:instrText xml:space="preserve"> SEQ AutoNr \* ARABIC </w:instrText>
      </w:r>
      <w:r>
        <w:rPr/>
        <w:fldChar w:fldCharType="separate"/>
      </w:r>
      <w:r>
        <w:rPr/>
        <w:t>3</w:t>
      </w:r>
      <w:r>
        <w:rPr/>
        <w:fldChar w:fldCharType="end"/>
      </w:r>
      <w:r>
        <w:rPr/>
        <w:tab/>
        <w:t>Receipt Points and Delivery Points</w:t>
      </w:r>
    </w:p>
    <w:p>
      <w:pPr>
        <w:pStyle w:val="Normal"/>
        <w:widowControl/>
        <w:spacing w:before="0" w:after="120"/>
        <w:ind w:firstLine="720" w:end="0"/>
        <w:rPr/>
      </w:pPr>
      <w:r>
        <w:rPr/>
        <w:t>The Receipt Points for all Gas delivered or caused to be delivered by Shipper to Houston for transportation hereunder shall be at such mutually agreeable existing points on Houston's existing pipeline system in Texas as may be established from time to time under the terms of this Agreement (hereinafter called "Receipt Points").  Such Receipt Points to be set forth in writing from time to time on Exhibit "A" and attached hereto.</w:t>
      </w:r>
    </w:p>
    <w:p>
      <w:pPr>
        <w:pStyle w:val="Normal"/>
        <w:widowControl/>
        <w:spacing w:before="0" w:after="120"/>
        <w:ind w:firstLine="720" w:end="0"/>
        <w:rPr/>
      </w:pPr>
      <w:r>
        <w:rPr/>
        <w:t>The Delivery Points for all Gas that Houston transports or causes to be redelivered for the account of Shipper hereunder shall be at such mutually agreeable existing points on Houston's existing pipeline system in Texas as may be established from time to time under the terms of this Agreement (hereinafter called "Delivery Points").  Such Delivery Points to be set forth in writing from time to time on Exhibit "B" and attached hereto.</w:t>
      </w:r>
    </w:p>
    <w:p>
      <w:pPr>
        <w:pStyle w:val="Heading1"/>
        <w:widowControl/>
        <w:ind w:hanging="0" w:start="0"/>
        <w:rPr/>
      </w:pPr>
      <w:r>
        <w:rPr/>
        <w:fldChar w:fldCharType="begin"/>
      </w:r>
      <w:r>
        <w:rPr/>
        <w:instrText xml:space="preserve"> SEQ AutoNr \* ARABIC </w:instrText>
      </w:r>
      <w:r>
        <w:rPr/>
        <w:fldChar w:fldCharType="separate"/>
      </w:r>
      <w:r>
        <w:rPr/>
        <w:t>4</w:t>
      </w:r>
      <w:r>
        <w:rPr/>
        <w:fldChar w:fldCharType="end"/>
      </w:r>
      <w:r>
        <w:rPr/>
        <w:tab/>
        <w:t>Term</w:t>
      </w:r>
    </w:p>
    <w:p>
      <w:pPr>
        <w:pStyle w:val="Normal"/>
        <w:widowControl/>
        <w:ind w:firstLine="720" w:end="0"/>
        <w:rPr/>
      </w:pPr>
      <w:r>
        <w:rPr/>
        <w:t>This Agreement shall become effective as of the date first hereinabove written, and shall continue in force and effect until terminated on the last Day of the first full calendar month following the effective date, or at the end of any calendar month thereafter by either party by giving written notice to the other party at least ten (10) Days prior to the effective date of such termination.  In the event there is an imbalance, in terms of MMBtu, caused by differences in receipt and delivery of quantities on the date of termination of this Agreement, those provisions of this Agreement which govern the resolution of such imbalances shall continue in full force and effect until such imbalance is corrected.  Any termination of this Agreement or other event occurring pursuant to the provisions of this Agreement resulting in the discontinuance of the scheduling of Gas shall be considered a consent by Shipper to disconnect Houston's facilities under Rule 73, Conservation Rules and Regulations of the Railroad Commission of Texas if and to the extent such rule is ever interpreted to govern transactions of the type evidenced hereby.</w:t>
      </w:r>
    </w:p>
    <w:p>
      <w:pPr>
        <w:pStyle w:val="Heading1"/>
        <w:widowControl/>
        <w:ind w:hanging="0" w:start="0"/>
        <w:rPr/>
      </w:pPr>
      <w:r>
        <w:rPr/>
        <w:fldChar w:fldCharType="begin"/>
      </w:r>
      <w:r>
        <w:rPr/>
        <w:instrText xml:space="preserve"> SEQ AutoNr \* ARABIC </w:instrText>
      </w:r>
      <w:r>
        <w:rPr/>
        <w:fldChar w:fldCharType="separate"/>
      </w:r>
      <w:r>
        <w:rPr/>
        <w:t>5</w:t>
      </w:r>
      <w:r>
        <w:rPr/>
        <w:fldChar w:fldCharType="end"/>
      </w:r>
      <w:r>
        <w:rPr/>
        <w:tab/>
        <w:t>Fee</w:t>
      </w:r>
    </w:p>
    <w:p>
      <w:pPr>
        <w:pStyle w:val="Normal"/>
        <w:widowControl/>
        <w:spacing w:before="0" w:after="120"/>
        <w:ind w:firstLine="720" w:end="0"/>
        <w:rPr/>
      </w:pPr>
      <w:r>
        <w:rPr/>
        <w:t>a.</w:t>
        <w:tab/>
        <w:t>Shipper shall pay Houston a fee for all Gas received hereunder at the Receipt Points ("Receipt Fee") and a fee for all Gas delivered hereunder at the Delivery Points ("Delivery Fee").  The combined Receipt Fee and Delivery Fee for each MMBtu of Gas transported hereunder during a Month shall be (i) the rate(s) per MMBtu agreed to in any manner permitted by the terms of this Agreement with respect to each individual transportation transaction  performed</w:t>
      </w:r>
      <w:r>
        <w:rPr>
          <w:b/>
        </w:rPr>
        <w:t xml:space="preserve"> </w:t>
      </w:r>
      <w:r>
        <w:rPr/>
        <w:t>by Houston on behalf of Shipper under this Agreement up to a maximum of twenty-four cents (24¢) per MMBtu if this Agreement is either an NGPA Section 311 Agreement or a Section 284.227 Agreement, or (ii) the rate(s) per MMBtu agreed to in any manner permitted by the terms of this Agreement with respect to each individual transportation transaction  performed by Houston on behalf of Shipper under this Agreement if this Agreement is an Intrastate Agreement</w:t>
      </w:r>
      <w:r>
        <w:rPr>
          <w:b/>
        </w:rPr>
        <w:t>.</w:t>
      </w:r>
      <w:r>
        <w:rPr/>
        <w:t xml:space="preserve"> The term "Inside FERC Delivered Spot-Gas Price" as used herein, to be used in pricing for a Month, means the Index (Most Frequently Reported Price) Delivered Spot-Gas Price (per MMBtu) for Houston Ship Channel/Beaumont, Texas area large volume (at least 3,500 Mcf per Day) deliveries for the current Month stated on an MMBtu basis.  Such Inside FERC Delivered Spot-Gas Price for the Month is currently found in McGraw-Hill, Inc.'s Inside FERC Gas Market Report published every other Friday.  The values contained in the first publication of such Inside FERC Delivered Spot-Gas Price for the Month shall be used for such Month.  If such publication should cease to publish the Inside FERC Delivered Spot-Gas Price, a mutually agreeable substitute publication for Houston Ship Channel/Beaumont, Texas area delivered spot index price purchases shall be used, if available.  Houston shall have the right at any time and from time to time to change the transportation fee to be paid by Shipper to Houston under this Agreement upon not less than seven (7) Days notice prior to the beginning of any Month.  Such notice to be confirmed by Houston to Shipper in writing and the receipt and acceptance thereof shall be acknowledged by Shipper in writing and returned to Houston.  In the event Shipper fails to execute and return Houston's written communication within ten (10) Days of receipt thereof, then Houston shall have the right to suspend the transportation of Gas hereunder until such acknowledgment is returned to Houston.</w:t>
      </w:r>
    </w:p>
    <w:p>
      <w:pPr>
        <w:pStyle w:val="Normal"/>
        <w:widowControl/>
        <w:spacing w:before="0" w:after="120"/>
        <w:ind w:firstLine="720" w:end="0"/>
        <w:rPr/>
      </w:pPr>
      <w:r>
        <w:rPr/>
        <w:t>b.</w:t>
        <w:tab/>
        <w:t>Houston may at any time and from time to time agree to adjust the Receipt Fee and/or Delivery Fee at one or more points under this Agreement to a discounted fee for a specified term.  Such discounted fee(s) may be communicated to Shipper in any manner permitted under this Agreement, including the use of Houston's Monthly invoice or the form of Exhibit "C" attached hereto.</w:t>
      </w:r>
    </w:p>
    <w:p>
      <w:pPr>
        <w:pStyle w:val="Normal"/>
        <w:widowControl/>
        <w:ind w:firstLine="720" w:end="0"/>
        <w:rPr/>
      </w:pPr>
      <w:r>
        <w:rPr/>
        <w:t>c.</w:t>
        <w:tab/>
        <w:t>If this Agreement is either an NGPA Section 311 Agreement or a Section 284.227 Agreement, the total amount payable by Shipper to Houston for transportation service hereunder for a Month shall in no event exceed an amount which is equal to the product of the total volume transported hereunder during such Month and Houston's maximum legal rate in effect from time to time pursuant to Section 311(a)(2) of the NGPA.</w:t>
      </w:r>
    </w:p>
    <w:p>
      <w:pPr>
        <w:pStyle w:val="Heading1"/>
        <w:widowControl/>
        <w:ind w:hanging="0" w:start="0"/>
        <w:rPr/>
      </w:pPr>
      <w:r>
        <w:rPr/>
        <w:fldChar w:fldCharType="begin"/>
      </w:r>
      <w:r>
        <w:rPr/>
        <w:instrText xml:space="preserve"> SEQ AutoNr \* ARABIC </w:instrText>
      </w:r>
      <w:r>
        <w:rPr/>
        <w:fldChar w:fldCharType="separate"/>
      </w:r>
      <w:r>
        <w:rPr/>
        <w:t>6</w:t>
      </w:r>
      <w:r>
        <w:rPr/>
        <w:fldChar w:fldCharType="end"/>
      </w:r>
      <w:r>
        <w:rPr/>
        <w:tab/>
        <w:t>Notices</w:t>
      </w:r>
    </w:p>
    <w:p>
      <w:pPr>
        <w:pStyle w:val="Normal"/>
        <w:widowControl/>
        <w:ind w:firstLine="720" w:end="0"/>
        <w:rPr/>
      </w:pPr>
      <w:r>
        <w:rPr/>
        <w:t>Any notice, request, demand, statement or other correspondence shall be mailed, sent via facsimile or delivered to the post office address of each of the parties hereto, hereinafter stated, or to such other address as such party may hereafter designate to the other in writing:</w:t>
      </w:r>
    </w:p>
    <w:p>
      <w:pPr>
        <w:pStyle w:val="Normal"/>
        <w:widowControl/>
        <w:rPr/>
      </w:pPr>
      <w:r>
        <w:rPr/>
      </w:r>
    </w:p>
    <w:tbl>
      <w:tblPr>
        <w:tblW w:w="8478" w:type="dxa"/>
        <w:jc w:val="start"/>
        <w:tblInd w:w="720" w:type="dxa"/>
        <w:tblLayout w:type="fixed"/>
        <w:tblCellMar>
          <w:top w:w="0" w:type="dxa"/>
          <w:start w:w="108" w:type="dxa"/>
          <w:bottom w:w="0" w:type="dxa"/>
          <w:end w:w="108" w:type="dxa"/>
        </w:tblCellMar>
      </w:tblPr>
      <w:tblGrid>
        <w:gridCol w:w="3888"/>
        <w:gridCol w:w="4590"/>
      </w:tblGrid>
      <w:tr>
        <w:trPr/>
        <w:tc>
          <w:tcPr>
            <w:tcW w:w="3888" w:type="dxa"/>
            <w:tcBorders/>
          </w:tcPr>
          <w:p>
            <w:pPr>
              <w:pStyle w:val="Normal"/>
              <w:keepNext w:val="true"/>
              <w:widowControl/>
              <w:rPr/>
            </w:pPr>
            <w:r>
              <w:rPr>
                <w:b/>
                <w:u w:val="single"/>
              </w:rPr>
              <w:t>Shipper</w:t>
            </w:r>
            <w:r>
              <w:rPr>
                <w:b/>
              </w:rPr>
              <w:t>:</w:t>
            </w:r>
          </w:p>
        </w:tc>
        <w:tc>
          <w:tcPr>
            <w:tcW w:w="4590" w:type="dxa"/>
            <w:tcBorders/>
          </w:tcPr>
          <w:p>
            <w:pPr>
              <w:pStyle w:val="Normal"/>
              <w:keepNext w:val="true"/>
              <w:widowControl/>
              <w:rPr/>
            </w:pPr>
            <w:r>
              <w:rPr>
                <w:b/>
                <w:u w:val="single"/>
              </w:rPr>
              <w:t>Houston</w:t>
            </w:r>
            <w:r>
              <w:rPr>
                <w:b/>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rPr/>
            </w:pPr>
            <w:r>
              <w:rPr>
                <w:u w:val="single"/>
              </w:rPr>
              <w:t>For Notices/Correspondence</w:t>
            </w:r>
            <w:r>
              <w:rPr/>
              <w:t>:</w:t>
            </w:r>
          </w:p>
        </w:tc>
        <w:tc>
          <w:tcPr>
            <w:tcW w:w="4590" w:type="dxa"/>
            <w:tcBorders/>
          </w:tcPr>
          <w:p>
            <w:pPr>
              <w:pStyle w:val="Normal"/>
              <w:keepNext w:val="true"/>
              <w:widowControl/>
              <w:rPr/>
            </w:pPr>
            <w:r>
              <w:rPr>
                <w:u w:val="single"/>
              </w:rPr>
              <w:t>For Transportation Department</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Vice President-Transportation</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646-8416</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853-6718</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rPr/>
            </w:pPr>
            <w:r>
              <w:rPr>
                <w:u w:val="single"/>
              </w:rPr>
              <w:t>For Invoices/Statements</w:t>
            </w:r>
            <w:r>
              <w:rPr/>
              <w:t>:</w:t>
            </w:r>
          </w:p>
        </w:tc>
        <w:tc>
          <w:tcPr>
            <w:tcW w:w="4590" w:type="dxa"/>
            <w:tcBorders/>
          </w:tcPr>
          <w:p>
            <w:pPr>
              <w:pStyle w:val="Normal"/>
              <w:keepNext w:val="true"/>
              <w:widowControl/>
              <w:rPr/>
            </w:pPr>
            <w:r>
              <w:rPr>
                <w:u w:val="single"/>
              </w:rPr>
              <w:t>For Accounting Matters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Gas Revenue Accounting</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P. O. Box 1188</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77251-1188</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646-2372</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Gas Control</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Gas Control</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EB4241</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widowControl/>
              <w:snapToGrid w:val="false"/>
              <w:rPr/>
            </w:pPr>
            <w:r>
              <w:rPr/>
            </w:r>
          </w:p>
        </w:tc>
        <w:tc>
          <w:tcPr>
            <w:tcW w:w="4590" w:type="dxa"/>
            <w:tcBorders/>
          </w:tcPr>
          <w:p>
            <w:pPr>
              <w:pStyle w:val="Normal"/>
              <w:widowControl/>
              <w:rPr/>
            </w:pPr>
            <w:r>
              <w:rPr/>
              <w:t>FAX No.:  (713) 757-7088</w:t>
            </w:r>
          </w:p>
        </w:tc>
      </w:tr>
      <w:tr>
        <w:trPr/>
        <w:tc>
          <w:tcPr>
            <w:tcW w:w="3888" w:type="dxa"/>
            <w:tcBorders/>
          </w:tcPr>
          <w:p>
            <w:pPr>
              <w:pStyle w:val="Normal"/>
              <w:widowControl/>
              <w:snapToGrid w:val="false"/>
              <w:rPr/>
            </w:pPr>
            <w:r>
              <w:rPr/>
            </w:r>
          </w:p>
        </w:tc>
        <w:tc>
          <w:tcPr>
            <w:tcW w:w="4590" w:type="dxa"/>
            <w:tcBorders/>
          </w:tcPr>
          <w:p>
            <w:pPr>
              <w:pStyle w:val="Normal"/>
              <w:widowControl/>
              <w:rPr/>
            </w:pPr>
            <w:r>
              <w:rPr/>
              <w:t>Phone:  (713) 853-6444</w:t>
            </w:r>
          </w:p>
        </w:tc>
      </w:tr>
      <w:tr>
        <w:trPr/>
        <w:tc>
          <w:tcPr>
            <w:tcW w:w="3888" w:type="dxa"/>
            <w:tcBorders/>
          </w:tcPr>
          <w:p>
            <w:pPr>
              <w:pStyle w:val="Normal"/>
              <w:widowControl/>
              <w:snapToGrid w:val="false"/>
              <w:rPr/>
            </w:pPr>
            <w:r>
              <w:rPr/>
            </w:r>
          </w:p>
        </w:tc>
        <w:tc>
          <w:tcPr>
            <w:tcW w:w="4590" w:type="dxa"/>
            <w:tcBorders/>
          </w:tcPr>
          <w:p>
            <w:pPr>
              <w:pStyle w:val="Normal"/>
              <w:widowControl/>
              <w:snapToGrid w:val="false"/>
              <w:rPr/>
            </w:pPr>
            <w:r>
              <w:rPr/>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u w:val="single"/>
              </w:rPr>
              <w:t>For Scheduling/Nominations</w:t>
            </w:r>
            <w:r>
              <w:rPr/>
              <w:t>:</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Pipe Line Company</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Attn:  Scheduling/Nominations</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1400 Smith Street, Suite EB4240</w:t>
            </w:r>
          </w:p>
        </w:tc>
      </w:tr>
      <w:tr>
        <w:trPr/>
        <w:tc>
          <w:tcPr>
            <w:tcW w:w="3888" w:type="dxa"/>
            <w:tcBorders/>
          </w:tcPr>
          <w:p>
            <w:pPr>
              <w:pStyle w:val="Normal"/>
              <w:keepNext w:val="true"/>
              <w:widowControl/>
              <w:snapToGrid w:val="false"/>
              <w:rPr/>
            </w:pPr>
            <w:r>
              <w:rPr/>
            </w:r>
          </w:p>
        </w:tc>
        <w:tc>
          <w:tcPr>
            <w:tcW w:w="4590" w:type="dxa"/>
            <w:tcBorders/>
          </w:tcPr>
          <w:p>
            <w:pPr>
              <w:pStyle w:val="Normal"/>
              <w:keepNext w:val="true"/>
              <w:widowControl/>
              <w:rPr/>
            </w:pPr>
            <w:r>
              <w:rPr/>
              <w:t>Houston, Texas  77002</w:t>
            </w:r>
          </w:p>
        </w:tc>
      </w:tr>
      <w:tr>
        <w:trPr/>
        <w:tc>
          <w:tcPr>
            <w:tcW w:w="3888" w:type="dxa"/>
            <w:tcBorders/>
          </w:tcPr>
          <w:p>
            <w:pPr>
              <w:pStyle w:val="Normal"/>
              <w:keepNext w:val="true"/>
              <w:widowControl/>
              <w:snapToGrid w:val="false"/>
              <w:rPr/>
            </w:pPr>
            <w:r>
              <w:rPr/>
            </w:r>
          </w:p>
        </w:tc>
        <w:tc>
          <w:tcPr>
            <w:tcW w:w="4590" w:type="dxa"/>
            <w:tcBorders/>
          </w:tcPr>
          <w:p>
            <w:pPr>
              <w:pStyle w:val="Normal"/>
              <w:widowControl/>
              <w:rPr/>
            </w:pPr>
            <w:r>
              <w:rPr/>
              <w:t>FAX No.:  (713) 646-5799</w:t>
            </w:r>
          </w:p>
        </w:tc>
      </w:tr>
      <w:tr>
        <w:trPr/>
        <w:tc>
          <w:tcPr>
            <w:tcW w:w="3888" w:type="dxa"/>
            <w:tcBorders/>
          </w:tcPr>
          <w:p>
            <w:pPr>
              <w:pStyle w:val="Normal"/>
              <w:widowControl/>
              <w:snapToGrid w:val="false"/>
              <w:rPr/>
            </w:pPr>
            <w:r>
              <w:rPr/>
            </w:r>
          </w:p>
        </w:tc>
        <w:tc>
          <w:tcPr>
            <w:tcW w:w="4590" w:type="dxa"/>
            <w:tcBorders/>
          </w:tcPr>
          <w:p>
            <w:pPr>
              <w:pStyle w:val="Normal"/>
              <w:keepNext w:val="true"/>
              <w:widowControl/>
              <w:snapToGrid w:val="false"/>
              <w:rPr/>
            </w:pPr>
            <w:r>
              <w:rPr/>
            </w:r>
          </w:p>
        </w:tc>
      </w:tr>
    </w:tbl>
    <w:p>
      <w:pPr>
        <w:pStyle w:val="Normal"/>
        <w:widowControl/>
        <w:rPr/>
      </w:pPr>
      <w:r>
        <w:rPr/>
        <w:t>Any such notice, request, demand, statement or other correspondence shall be deemed to be received three (3) business days after deposit in the U.S. Mail, postage prepaid, or when transmitted via a facsimile machine, and shall be conclusively presumed to be received when receipt is confirmed by return facsimile or, if no such return facsimile is sent, two hours subsequent to the time of receipt appearing on such facsimile (if any), provided, that notice sent by facsimile received by recipient after its normal business hours or on a non-business day shall be deemed to be received on the next succeeding business day.  Notices sent by overnight mail or by courier shall be deemed given upon receipt; provided, however, if such delivery is refused or rejected, such notice shall be deemed received on the day such delivery was so refused or rejected.</w:t>
      </w:r>
    </w:p>
    <w:p>
      <w:pPr>
        <w:pStyle w:val="Heading1"/>
        <w:widowControl/>
        <w:ind w:hanging="0" w:start="0"/>
        <w:rPr/>
      </w:pPr>
      <w:r>
        <w:rPr/>
        <w:fldChar w:fldCharType="begin"/>
      </w:r>
      <w:r>
        <w:rPr/>
        <w:instrText xml:space="preserve"> SEQ AutoNr \* ARABIC </w:instrText>
      </w:r>
      <w:r>
        <w:rPr/>
        <w:fldChar w:fldCharType="separate"/>
      </w:r>
      <w:r>
        <w:rPr/>
        <w:t>7</w:t>
      </w:r>
      <w:r>
        <w:rPr/>
        <w:fldChar w:fldCharType="end"/>
      </w:r>
      <w:r>
        <w:rPr/>
        <w:tab/>
        <w:t>Warranties, Indemnifications</w:t>
      </w:r>
    </w:p>
    <w:p>
      <w:pPr>
        <w:pStyle w:val="Normal"/>
        <w:widowControl/>
        <w:spacing w:before="0" w:after="120"/>
        <w:ind w:firstLine="720" w:end="0"/>
        <w:rPr/>
      </w:pPr>
      <w:r>
        <w:rPr/>
        <w:t>a.</w:t>
        <w:tab/>
        <w:t>Shipper warrants title to all Gas delivered by it hereunder for its account, that it has the right to deliver same hereunder and that such Gas is free from liens and adverse claims of every kind.  Each party will indemnify and save the other party harmless against all losses, damages and expenses of every character with respect to the Gas delivered by it or on account of royalties, taxes, payments, or other charges applicable before or upon delivery of the Gas hereunder.</w:t>
      </w:r>
    </w:p>
    <w:p>
      <w:pPr>
        <w:pStyle w:val="Normal"/>
        <w:widowControl/>
        <w:spacing w:before="0" w:after="120"/>
        <w:ind w:firstLine="720" w:end="0"/>
        <w:rPr/>
      </w:pPr>
      <w:r>
        <w:rPr/>
        <w:t>b.</w:t>
        <w:tab/>
        <w:t>If this Agreement is an Intrastate Agreement, Shipper represents and warrants to Houston (i) that all Gas delivered to Houston hereunder will be produced in the State of Texas from reserves not dedicated or committed to interstate commerce, and (ii) that the Gas which Shipper delivers or receives hereunder will not have been or be sold, consumed, transported or otherwise utilized in interstate commerce at any point upstream of the Receipt Points or downstream of the Delivery Points, and that such Gas has not been nor will it be commingled at any point upstream of the Receipt Points or downstream of the Delivery Points with other Gas which is or may be sold, consumed, transported or otherwise utilized in interstate commerce in such a manner which will subject the Gas transported under this Agreement or Houston's or its designee's pipeline system, or any portion thereof, to the jurisdiction of the FERC or any successor authority under the NGA.</w:t>
      </w:r>
    </w:p>
    <w:p>
      <w:pPr>
        <w:pStyle w:val="Normal"/>
        <w:widowControl/>
        <w:spacing w:before="0" w:after="120"/>
        <w:ind w:firstLine="720" w:end="0"/>
        <w:rPr/>
      </w:pPr>
      <w:r>
        <w:rPr/>
        <w:t>c.</w:t>
        <w:tab/>
        <w:t>If this Agreement is an NGPA Section 311 Agreement, Shipper represents and warrants to Houston that (i) the transportation of Gas hereunder is "on behalf of" (A) Shipper, (B) the OBO Party(ies) as specified in Section 1 hereof within the context of Section 284.122 of Subpart C of the FERC's regulations, or (C) a "local distribution company served by an interstate pipeline" within the context of the NGPA and Subpart C of Part 284 of the FERC's regulations; and (ii) if the transportation of Gas hereunder is "on behalf of" Shipper, Shipper is either an "interstate pipeline" or a "local distribution company served by an interstate pipeline" within the meaning of Sections 2(15) or 2(17) and 311 (a)(2) of the NGPA and Subpart C of Part 284 of the FERC's regulations.  If requested by Houston, Shipper shall provide evidence satisfactory to Houston that the transportation to be provided hereunder is "on behalf of" a local distribution company served by an interstate pipeline or the OBO Party(ies), as applicable, and that such transportation otherwise qualifies as transportation pursuant to Section 311(a)(2) of the NGPA and the FERC's rules, regulations and orders thereunder.</w:t>
      </w:r>
    </w:p>
    <w:p>
      <w:pPr>
        <w:pStyle w:val="Normal"/>
        <w:widowControl/>
        <w:spacing w:before="0" w:after="120"/>
        <w:ind w:firstLine="720" w:end="0"/>
        <w:rPr/>
      </w:pPr>
      <w:r>
        <w:rPr/>
        <w:t>d.</w:t>
        <w:tab/>
        <w:t>If this Agreement is a Section 284.227 Agreement, Shipper represents and warrants to Houston for all Gas transported hereunder and delivered to Shipper or for its accounts that such Gas (i) has been produced in Federal waters adjacent to the state of Texas or offshore in an adjacent state; (ii) has been transported to the Receipt Point(s) by either (A) a gatherer that is not subject to regulation under the NGA, or (B) a combination of such a gatherer and an "intrastate pipeline" as such term is defined in the NGPA; and (iii) will ultimately be used by an end user in the state of Texas.</w:t>
      </w:r>
    </w:p>
    <w:p>
      <w:pPr>
        <w:pStyle w:val="Normal"/>
        <w:widowControl/>
        <w:spacing w:before="0" w:after="120"/>
        <w:ind w:firstLine="720" w:end="0"/>
        <w:rPr/>
      </w:pPr>
      <w:r>
        <w:rPr/>
        <w:t>e.</w:t>
        <w:tab/>
        <w:t>Houston shall have no obligation under this Agreement if Houston, in its sole discretion, determines at any time that Shipper has breached any applicable representation or warranty referenced above or that the transportation to be provided hereunder does not so qualify.  Shipper agrees to indemnify and hold Houston harmless from and against any and all suits, actions, damages, costs, losses and expenses sustained by Houston relative to any breach by Shipper of any representation or warranty herein expressed.</w:t>
      </w:r>
    </w:p>
    <w:p>
      <w:pPr>
        <w:pStyle w:val="Heading1"/>
        <w:widowControl/>
        <w:ind w:hanging="0" w:start="0"/>
        <w:rPr/>
      </w:pPr>
      <w:r>
        <w:rPr/>
        <w:fldChar w:fldCharType="begin"/>
      </w:r>
      <w:r>
        <w:rPr/>
        <w:instrText xml:space="preserve"> SEQ AutoNr \* ARABIC </w:instrText>
      </w:r>
      <w:r>
        <w:rPr/>
        <w:fldChar w:fldCharType="separate"/>
      </w:r>
      <w:r>
        <w:rPr/>
        <w:t>8</w:t>
      </w:r>
      <w:r>
        <w:rPr/>
        <w:fldChar w:fldCharType="end"/>
      </w:r>
      <w:r>
        <w:rPr/>
        <w:tab/>
        <w:t>Attachments</w:t>
      </w:r>
    </w:p>
    <w:p>
      <w:pPr>
        <w:pStyle w:val="Normal"/>
        <w:widowControl/>
        <w:ind w:firstLine="720" w:end="0"/>
        <w:rPr/>
      </w:pPr>
      <w:r>
        <w:rPr/>
        <w:t>Incorporated into this Agreement by reference are Appendix "A" (General Terms and Conditions), and Exhibits "A", "B" and "C", a copy of each of which is attached hereto.  This Agreement, Appendix "A" and Exhibits "A", "B" and "C" shall be read together as one single document.  Shipper hereby agrees that Houston shall have the right to revise Appendix "A" from time to time and that such revised Appendix "A" shall become a part of this Agreement upon the first Day of the Month following Shipper's receipt of any such revised Appendix "A".</w:t>
      </w:r>
    </w:p>
    <w:p>
      <w:pPr>
        <w:pStyle w:val="Heading1"/>
        <w:widowControl/>
        <w:ind w:hanging="0" w:start="0"/>
        <w:rPr/>
      </w:pPr>
      <w:r>
        <w:rPr/>
        <w:fldChar w:fldCharType="begin"/>
      </w:r>
      <w:r>
        <w:rPr/>
        <w:instrText xml:space="preserve"> SEQ AutoNr \* ARABIC </w:instrText>
      </w:r>
      <w:r>
        <w:rPr/>
        <w:fldChar w:fldCharType="separate"/>
      </w:r>
      <w:r>
        <w:rPr/>
        <w:t>9</w:t>
      </w:r>
      <w:r>
        <w:rPr/>
        <w:fldChar w:fldCharType="end"/>
      </w:r>
      <w:r>
        <w:rPr/>
        <w:tab/>
        <w:t>Other Terms and Conditions</w:t>
      </w:r>
    </w:p>
    <w:p>
      <w:pPr>
        <w:pStyle w:val="Normal"/>
        <w:widowControl/>
        <w:ind w:firstLine="720" w:end="0"/>
        <w:rPr/>
      </w:pPr>
      <w:r>
        <w:rPr/>
        <w:t>None.</w:t>
      </w:r>
    </w:p>
    <w:p>
      <w:pPr>
        <w:pStyle w:val="Normal"/>
        <w:widowControl/>
        <w:rPr/>
      </w:pPr>
      <w:r>
        <w:rPr/>
      </w:r>
    </w:p>
    <w:p>
      <w:pPr>
        <w:pStyle w:val="Normal"/>
        <w:keepLines/>
        <w:widowControl/>
        <w:ind w:firstLine="720" w:end="0"/>
        <w:rPr/>
      </w:pPr>
      <w:r>
        <w:rPr/>
        <w:t>IN WITNESS WHEREOF, the parties hereto have caused this instrument to be executed in multiple originals effective and operative as of the date first hereinabove written.</w:t>
      </w:r>
    </w:p>
    <w:p>
      <w:pPr>
        <w:pStyle w:val="Normal"/>
        <w:keepLines/>
        <w:widowControl/>
        <w:rPr/>
      </w:pPr>
      <w:r>
        <w:rPr/>
      </w:r>
    </w:p>
    <w:p>
      <w:pPr>
        <w:pStyle w:val="Normal"/>
        <w:keepLines/>
        <w:widowControl/>
        <w:tabs>
          <w:tab w:val="clear" w:pos="720"/>
          <w:tab w:val="left" w:pos="4320" w:leader="none"/>
          <w:tab w:val="left" w:pos="9180" w:leader="none"/>
        </w:tabs>
        <w:rPr>
          <w:b/>
        </w:rPr>
      </w:pPr>
      <w:r>
        <w:rPr>
          <w:b/>
        </w:rPr>
        <w:tab/>
        <w:t>HOUSTON PIPE LINE COMPANY</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5040" w:leader="none"/>
          <w:tab w:val="left" w:pos="9180" w:leader="none"/>
        </w:tabs>
        <w:rPr/>
      </w:pPr>
      <w:r>
        <w:rPr/>
        <w:tab/>
        <w:t>Tom Martin</w:t>
      </w:r>
    </w:p>
    <w:p>
      <w:pPr>
        <w:pStyle w:val="Normal"/>
        <w:keepLines/>
        <w:widowControl/>
        <w:tabs>
          <w:tab w:val="clear" w:pos="720"/>
          <w:tab w:val="left" w:pos="5040" w:leader="none"/>
          <w:tab w:val="left" w:pos="9180" w:leader="none"/>
        </w:tabs>
        <w:rPr/>
      </w:pPr>
      <w:r>
        <w:rPr/>
        <w:tab/>
        <w:t>Vice President</w:t>
      </w:r>
    </w:p>
    <w:p>
      <w:pPr>
        <w:pStyle w:val="Normal"/>
        <w:keepLines/>
        <w:widowControl/>
        <w:tabs>
          <w:tab w:val="clear" w:pos="720"/>
          <w:tab w:val="left" w:pos="4320" w:leader="none"/>
          <w:tab w:val="left" w:pos="4860" w:leader="none"/>
          <w:tab w:val="left" w:pos="6480" w:leader="none"/>
          <w:tab w:val="left" w:pos="9180" w:leader="none"/>
        </w:tabs>
        <w:rPr/>
      </w:pPr>
      <w:r>
        <w:rPr/>
      </w:r>
    </w:p>
    <w:p>
      <w:pPr>
        <w:pStyle w:val="Normal"/>
        <w:keepLines/>
        <w:widowControl/>
        <w:tabs>
          <w:tab w:val="clear" w:pos="720"/>
          <w:tab w:val="left" w:pos="6480" w:leader="none"/>
          <w:tab w:val="left" w:pos="9180" w:leader="none"/>
        </w:tabs>
        <w:rPr/>
      </w:pPr>
      <w:r>
        <w:rPr/>
        <w:tab/>
        <w:t>"Houston"</w:t>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b/>
        </w:rPr>
      </w:pPr>
      <w:r>
        <w:rPr>
          <w:b/>
        </w:rPr>
        <w:tab/>
        <w:t>____________________________________</w:t>
      </w:r>
    </w:p>
    <w:p>
      <w:pPr>
        <w:pStyle w:val="Normal"/>
        <w:keepLines/>
        <w:widowControl/>
        <w:tabs>
          <w:tab w:val="clear" w:pos="720"/>
          <w:tab w:val="left" w:pos="4320" w:leader="none"/>
          <w:tab w:val="left" w:pos="9180" w:leader="none"/>
        </w:tabs>
        <w:rPr>
          <w:b/>
        </w:rPr>
      </w:pPr>
      <w:r>
        <w:rPr>
          <w:b/>
        </w:rPr>
      </w:r>
    </w:p>
    <w:p>
      <w:pPr>
        <w:pStyle w:val="Normal"/>
        <w:keepLines/>
        <w:widowControl/>
        <w:tabs>
          <w:tab w:val="clear" w:pos="720"/>
          <w:tab w:val="left" w:pos="4320" w:leader="none"/>
          <w:tab w:val="left" w:pos="9180" w:leader="none"/>
        </w:tabs>
        <w:rPr/>
      </w:pPr>
      <w:r>
        <w:rPr/>
      </w:r>
    </w:p>
    <w:p>
      <w:pPr>
        <w:pStyle w:val="Normal"/>
        <w:keepLines/>
        <w:widowControl/>
        <w:tabs>
          <w:tab w:val="clear" w:pos="720"/>
          <w:tab w:val="left" w:pos="4320" w:leader="none"/>
          <w:tab w:val="left" w:pos="9180" w:leader="none"/>
        </w:tabs>
        <w:rPr/>
      </w:pPr>
      <w:r>
        <w:rPr/>
        <w:tab/>
        <w:t>By:</w:t>
      </w:r>
      <w:r>
        <w:rPr>
          <w:u w:val="single"/>
        </w:rPr>
        <w:tab/>
      </w:r>
    </w:p>
    <w:p>
      <w:pPr>
        <w:pStyle w:val="Normal"/>
        <w:keepLines/>
        <w:widowControl/>
        <w:tabs>
          <w:tab w:val="clear" w:pos="720"/>
          <w:tab w:val="left" w:pos="4320" w:leader="none"/>
          <w:tab w:val="left" w:pos="6480" w:leader="none"/>
          <w:tab w:val="left" w:pos="9180" w:leader="none"/>
        </w:tabs>
        <w:rPr/>
      </w:pPr>
      <w:r>
        <w:rPr/>
        <w:tab/>
        <w:t xml:space="preserve">Name: </w:t>
      </w:r>
      <w:r>
        <w:rPr>
          <w:u w:val="single"/>
        </w:rPr>
        <w:tab/>
        <w:tab/>
      </w:r>
      <w:r>
        <w:rPr/>
        <w:tab/>
        <w:t xml:space="preserve">Title: </w:t>
      </w:r>
      <w:r>
        <w:rPr>
          <w:u w:val="single"/>
        </w:rPr>
        <w:tab/>
        <w:tab/>
      </w:r>
    </w:p>
    <w:p>
      <w:pPr>
        <w:pStyle w:val="Normal"/>
        <w:keepLines/>
        <w:widowControl/>
        <w:tabs>
          <w:tab w:val="clear" w:pos="720"/>
          <w:tab w:val="left" w:pos="4320" w:leader="none"/>
          <w:tab w:val="left" w:pos="4860" w:leader="none"/>
          <w:tab w:val="left" w:pos="6480" w:leader="none"/>
          <w:tab w:val="left" w:pos="9180" w:leader="none"/>
        </w:tabs>
        <w:rPr/>
      </w:pPr>
      <w:r>
        <w:rPr/>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864"/>
          <w:pgNumType w:start="1" w:fmt="decimal"/>
          <w:formProt w:val="false"/>
          <w:titlePg/>
          <w:textDirection w:val="lrTb"/>
          <w:docGrid w:type="default" w:linePitch="360" w:charSpace="0"/>
        </w:sectPr>
        <w:pStyle w:val="Normal"/>
        <w:keepLines/>
        <w:widowControl/>
        <w:tabs>
          <w:tab w:val="clear" w:pos="720"/>
          <w:tab w:val="left" w:pos="6480" w:leader="none"/>
          <w:tab w:val="left" w:pos="9180" w:leader="none"/>
        </w:tabs>
        <w:rPr/>
      </w:pPr>
      <w:r>
        <w:rPr/>
        <w:tab/>
        <w:t>"Shipper"</w:t>
      </w:r>
    </w:p>
    <w:p>
      <w:pPr>
        <w:pStyle w:val="Normal"/>
        <w:widowControl/>
        <w:jc w:val="center"/>
        <w:rPr>
          <w:b/>
        </w:rPr>
      </w:pPr>
      <w:r>
        <w:rPr>
          <w:b/>
        </w:rPr>
        <w:t>APPENDIX "A"</w:t>
      </w:r>
    </w:p>
    <w:p>
      <w:pPr>
        <w:pStyle w:val="Normal"/>
        <w:widowControl/>
        <w:jc w:val="center"/>
        <w:rPr/>
      </w:pPr>
      <w:r>
        <w:rPr/>
        <w:t>General Terms and Conditions to</w:t>
      </w:r>
    </w:p>
    <w:p>
      <w:pPr>
        <w:pStyle w:val="Normal"/>
        <w:widowControl/>
        <w:jc w:val="center"/>
        <w:rPr/>
      </w:pPr>
      <w:r>
        <w:rPr/>
        <w:t xml:space="preserve">Houston Pipe Line Company </w:t>
      </w:r>
    </w:p>
    <w:p>
      <w:pPr>
        <w:pStyle w:val="Normal"/>
        <w:widowControl/>
        <w:spacing w:before="0" w:after="240"/>
        <w:jc w:val="center"/>
        <w:rPr/>
      </w:pPr>
      <w:r>
        <w:rPr/>
        <w:t>Interruptible Gas Transportation Agreement</w:t>
      </w:r>
    </w:p>
    <w:p>
      <w:pPr>
        <w:pStyle w:val="Normal"/>
        <w:widowControl/>
        <w:spacing w:before="0" w:after="120"/>
        <w:ind w:firstLine="720" w:end="0"/>
        <w:rPr/>
      </w:pPr>
      <w:r>
        <w:rPr/>
        <w:t>1.</w:t>
        <w:tab/>
      </w:r>
      <w:r>
        <w:rPr>
          <w:u w:val="single"/>
        </w:rPr>
        <w:t>Definitions</w:t>
      </w:r>
      <w:r>
        <w:rPr/>
        <w:t>.</w:t>
      </w:r>
    </w:p>
    <w:p>
      <w:pPr>
        <w:pStyle w:val="Normal"/>
        <w:widowControl/>
        <w:spacing w:before="0" w:after="120"/>
        <w:ind w:firstLine="720" w:end="0"/>
        <w:rPr/>
      </w:pPr>
      <w:r>
        <w:rPr/>
        <w:t>The following definitions shall apply hereunder:</w:t>
      </w:r>
    </w:p>
    <w:p>
      <w:pPr>
        <w:pStyle w:val="Normal"/>
        <w:widowControl/>
        <w:spacing w:before="0" w:after="120"/>
        <w:ind w:firstLine="720" w:end="0"/>
        <w:rPr/>
      </w:pPr>
      <w:r>
        <w:rPr/>
        <w:t>a.</w:t>
        <w:tab/>
      </w:r>
      <w:r>
        <w:rPr>
          <w:u w:val="single"/>
        </w:rPr>
        <w:t>Day</w:t>
      </w:r>
      <w:r>
        <w:rPr/>
        <w:t>.  The term "Day" shall mean a period of time beginning at 9:00 a.m. Central Standard Time on each calendar day and ending at 9:00 a.m. Central Standard Time on the next succeeding calendar day.</w:t>
      </w:r>
    </w:p>
    <w:p>
      <w:pPr>
        <w:pStyle w:val="Normal"/>
        <w:widowControl/>
        <w:spacing w:before="0" w:after="120"/>
        <w:ind w:firstLine="720" w:end="0"/>
        <w:rPr/>
      </w:pPr>
      <w:r>
        <w:rPr/>
        <w:t>b.</w:t>
        <w:tab/>
      </w:r>
      <w:r>
        <w:rPr>
          <w:u w:val="single"/>
        </w:rPr>
        <w:t>Month</w:t>
      </w:r>
      <w:r>
        <w:rPr/>
        <w:t>.  The term "Month" shall mean a period of time beginning at 9:00 a.m. on the first day of a calendar month and ending at 9:00 a.m. on the first day of the next succeeding calendar month.</w:t>
      </w:r>
    </w:p>
    <w:p>
      <w:pPr>
        <w:pStyle w:val="Normal"/>
        <w:widowControl/>
        <w:spacing w:before="0" w:after="120"/>
        <w:ind w:firstLine="720" w:end="0"/>
        <w:rPr/>
      </w:pPr>
      <w:r>
        <w:rPr/>
        <w:t>c.</w:t>
        <w:tab/>
      </w:r>
      <w:r>
        <w:rPr>
          <w:u w:val="single"/>
        </w:rPr>
        <w:t>Mcf</w:t>
      </w:r>
      <w:r>
        <w:rPr/>
        <w:t>.  The term "Mcf" shall mean one thousand (1,000) cubic feet of Gas measured at a base temperature of sixty degrees (60</w:t>
      </w:r>
      <w:r>
        <w:rPr>
          <w:rFonts w:eastAsia="Symbol" w:cs="Symbol" w:ascii="Symbol" w:hAnsi="Symbol"/>
        </w:rPr>
        <w:sym w:font="Symbol" w:char="f0b0"/>
      </w:r>
      <w:r>
        <w:rPr/>
        <w:t>) Fahrenheit, and at a pressure base of fourteen and sixty-five one-hundredths (14.65) pounds per square inch absolute.</w:t>
      </w:r>
    </w:p>
    <w:p>
      <w:pPr>
        <w:pStyle w:val="Normal"/>
        <w:widowControl/>
        <w:spacing w:before="0" w:after="120"/>
        <w:ind w:firstLine="720" w:end="0"/>
        <w:rPr/>
      </w:pPr>
      <w:r>
        <w:rPr/>
        <w:t>d.</w:t>
        <w:tab/>
      </w:r>
      <w:r>
        <w:rPr>
          <w:u w:val="single"/>
        </w:rPr>
        <w:t>Gas</w:t>
      </w:r>
      <w:r>
        <w:rPr/>
        <w:t>.  The term "Gas" shall mean natural gas as produced from wells classified as gas wells or oil wells.</w:t>
      </w:r>
    </w:p>
    <w:p>
      <w:pPr>
        <w:pStyle w:val="Normal"/>
        <w:widowControl/>
        <w:spacing w:before="0" w:after="120"/>
        <w:ind w:firstLine="720" w:end="0"/>
        <w:rPr/>
      </w:pPr>
      <w:r>
        <w:rPr/>
        <w:t>e.</w:t>
        <w:tab/>
      </w:r>
      <w:r>
        <w:rPr>
          <w:u w:val="single"/>
        </w:rPr>
        <w:t>Btu</w:t>
      </w:r>
      <w:r>
        <w:rPr/>
        <w:t>.  The term "Btu" shall mean British Thermal Unit.</w:t>
      </w:r>
    </w:p>
    <w:p>
      <w:pPr>
        <w:pStyle w:val="Normal"/>
        <w:widowControl/>
        <w:spacing w:before="0" w:after="120"/>
        <w:ind w:firstLine="720" w:end="0"/>
        <w:rPr/>
      </w:pPr>
      <w:r>
        <w:rPr/>
        <w:t>f.</w:t>
        <w:tab/>
      </w:r>
      <w:r>
        <w:rPr>
          <w:u w:val="single"/>
        </w:rPr>
        <w:t>MMBtu</w:t>
      </w:r>
      <w:r>
        <w:rPr/>
        <w:t>.  The term "MMBtu" shall mean one million (1,000,000) British Thermal Units.</w:t>
      </w:r>
    </w:p>
    <w:p>
      <w:pPr>
        <w:pStyle w:val="Normal"/>
        <w:widowControl/>
        <w:spacing w:before="0" w:after="120"/>
        <w:ind w:firstLine="720" w:end="0"/>
        <w:rPr/>
      </w:pPr>
      <w:r>
        <w:rPr/>
        <w:t>g.</w:t>
        <w:tab/>
      </w:r>
      <w:r>
        <w:rPr>
          <w:u w:val="single"/>
        </w:rPr>
        <w:t>Psig</w:t>
      </w:r>
      <w:r>
        <w:rPr/>
        <w:t>.  The term "psig" shall mean pounds per square inch gauge.</w:t>
      </w:r>
    </w:p>
    <w:p>
      <w:pPr>
        <w:pStyle w:val="Normal"/>
        <w:widowControl/>
        <w:spacing w:before="0" w:after="120"/>
        <w:ind w:firstLine="720" w:end="0"/>
        <w:rPr/>
      </w:pPr>
      <w:r>
        <w:rPr/>
        <w:t>h.</w:t>
        <w:tab/>
      </w:r>
      <w:r>
        <w:rPr>
          <w:u w:val="single"/>
        </w:rPr>
        <w:t>Psia</w:t>
      </w:r>
      <w:r>
        <w:rPr/>
        <w:t>.  The term "psia" shall mean pounds per square inch absolute.</w:t>
      </w:r>
    </w:p>
    <w:p>
      <w:pPr>
        <w:pStyle w:val="Normal"/>
        <w:widowControl/>
        <w:spacing w:before="0" w:after="120"/>
        <w:ind w:firstLine="720" w:end="0"/>
        <w:rPr/>
      </w:pPr>
      <w:r>
        <w:rPr/>
        <w:t>i.</w:t>
        <w:tab/>
      </w:r>
      <w:r>
        <w:rPr>
          <w:u w:val="single"/>
        </w:rPr>
        <w:t>Interruptible</w:t>
      </w:r>
      <w:r>
        <w:rPr/>
        <w:t>.  The term "interruptible" or "interruptible service" as used herein means that Houston, in its sole and unfettered discretion, shall have the right to interrupt, curtail or suspend the receipt, transportation or delivery of Gas hereunder at any time and from time to time without any liability to Shipper by reason thereof.</w:t>
      </w:r>
    </w:p>
    <w:p>
      <w:pPr>
        <w:pStyle w:val="Normal"/>
        <w:keepNext w:val="true"/>
        <w:widowControl/>
        <w:spacing w:before="0" w:after="120"/>
        <w:ind w:firstLine="720" w:end="0"/>
        <w:rPr/>
      </w:pPr>
      <w:r>
        <w:rPr/>
        <w:t>2.</w:t>
        <w:tab/>
      </w:r>
      <w:r>
        <w:rPr>
          <w:u w:val="single"/>
        </w:rPr>
        <w:t>Receipt and Delivery of Gas</w:t>
      </w:r>
      <w:r>
        <w:rPr/>
        <w:t>.</w:t>
      </w:r>
    </w:p>
    <w:p>
      <w:pPr>
        <w:pStyle w:val="Normal"/>
        <w:widowControl/>
        <w:spacing w:before="0" w:after="120"/>
        <w:ind w:firstLine="720" w:end="0"/>
        <w:rPr/>
      </w:pPr>
      <w:r>
        <w:rPr/>
        <w:t>Subject to its own operating requirements, the availability of excess capacity in its existing facilities not required for its own use from time to time, the availability of capacity sufficient to provide interruptible service hereunder without detriment, interruption or disadvantage to any of its other customers, and the terms, conditions and limitations contained herein, as determined in Houston's sole discretion, Houston agrees to receive, transport and deliver on an interruptible basis those Scheduled Volumes of Shipper's Gas tendered daily up to the Maximum Daily Transportation Quantity.  In no event shall Houston be obligated to deliver or receive a volume of Gas during any Day hereunder which differs from the Scheduled Volume for such Day.  In the event that the actual volume of Gas received during any Day differs from the Scheduled Volume, then Houston shall only be obligated to that Day deliver the lesser of the actual volume received or the Scheduled Volume.  Houston shall have the right to not accept any receipts or make any deliveries of volumes of less than 500 Mcf per Day at any Receipt Point or Delivery Point.  It is specifically agreed by the parties hereto that the receipt, transportation or delivery of Gas hereunder by Houston shall be subject, at any time and from time to time, to partial or total interruption or cessation at Houston's sole and unfettered discretion for any reason, upon Houston providing oral or written notice prior to (where possible) or contemporaneously with such interruption or cessation.  Houston shall have absolutely no liability whatsoever in damages or otherwise for any such interruption or cessation.  Shipper's sole and exclusive remedy for any such interruption shall be the right to terminate this Agreement in accordance with Section 4 (Term) hereof.</w:t>
      </w:r>
    </w:p>
    <w:p>
      <w:pPr>
        <w:pStyle w:val="Normal"/>
        <w:keepNext w:val="true"/>
        <w:widowControl/>
        <w:spacing w:before="0" w:after="120"/>
        <w:ind w:firstLine="720" w:end="0"/>
        <w:rPr/>
      </w:pPr>
      <w:r>
        <w:rPr/>
        <w:t>3.</w:t>
        <w:tab/>
      </w:r>
      <w:r>
        <w:rPr>
          <w:u w:val="single"/>
        </w:rPr>
        <w:t>Nomination and Scheduling</w:t>
      </w:r>
      <w:r>
        <w:rPr/>
        <w:t>.</w:t>
      </w:r>
    </w:p>
    <w:p>
      <w:pPr>
        <w:pStyle w:val="Normal"/>
        <w:widowControl/>
        <w:spacing w:before="0" w:after="120"/>
        <w:ind w:firstLine="720" w:end="0"/>
        <w:rPr/>
      </w:pPr>
      <w:r>
        <w:rPr/>
        <w:t>Shipper shall furnish to Houston a timely written nomination in a form as specified by Houston and complying with Houston's nomination and scheduling procedure, as such procedure may be implemented from time to time, of all quantities to be delivered or received hereunder at each point during the period scheduled.  Houston shall have no obligation to accept or perform according to a nomination not submitted by Shipper to Houston in accordance with the procedures described in the preceding sentence.  Shipper shall be responsible for furnishing or causing to be furnished to the operator of the facilities delivering to and/or receiving Gas from Houston for the account of Shipper hereunder with a timely and accurate nomination for such deliveries and/or receipts.  Houston shall in accordance with its customary procedures confirm the quantities of Gas to be received and/or delivered hereunder at each of the Receipt Points and Delivery Points.  The quantities of Gas as confirmed by Houston shall be the "Scheduled Volume" for the purposes of this Agreement.  Except for Scheduled Volume differences permitted by Houston to eliminate imbalances, the Scheduled Volume at the Receipt Points each Day shall equal the Scheduled Volume at the Delivery Points each Day, and unless otherwise agreed by Houston, the Scheduled Volume shall be the volumes received and delivered under this Agreement each Month.</w:t>
      </w:r>
    </w:p>
    <w:p>
      <w:pPr>
        <w:pStyle w:val="Normal"/>
        <w:keepNext w:val="true"/>
        <w:widowControl/>
        <w:spacing w:before="0" w:after="120"/>
        <w:ind w:firstLine="720" w:end="0"/>
        <w:rPr/>
      </w:pPr>
      <w:r>
        <w:rPr/>
        <w:t>4.</w:t>
        <w:tab/>
      </w:r>
      <w:r>
        <w:rPr>
          <w:u w:val="single"/>
        </w:rPr>
        <w:t>Allocations</w:t>
      </w:r>
      <w:r>
        <w:rPr/>
        <w:t>.</w:t>
      </w:r>
    </w:p>
    <w:p>
      <w:pPr>
        <w:pStyle w:val="Normal"/>
        <w:widowControl/>
        <w:spacing w:before="0" w:after="120"/>
        <w:ind w:firstLine="720" w:end="0"/>
        <w:rPr/>
      </w:pPr>
      <w:r>
        <w:rPr/>
        <w:t xml:space="preserve">Shipper shall furnish or cause to be furnished to Houston such information as Houston shall reasonably consider to be necessary to allocate volumes received at the Receipt Points and/or delivered at the Delivery Points hereunder.  In absence of a Predetermined Allocation Agreement, or some other form of agreement that binds the parties as to the mechanism for allocating volumes received at a given Receipt Point or delivered at a given Delivery Point, Shipper authorizes Houston to determine the allocation of the volumes received or delivered hereunder at such points during each  Month.  Except as otherwise agreed by Houston, such allocation shall be final and not subject to any reallocation without first obtaining Houston's prior written agreement. </w:t>
      </w:r>
    </w:p>
    <w:p>
      <w:pPr>
        <w:pStyle w:val="Normal"/>
        <w:keepNext w:val="true"/>
        <w:widowControl/>
        <w:spacing w:before="0" w:after="120"/>
        <w:ind w:firstLine="720" w:end="0"/>
        <w:rPr/>
      </w:pPr>
      <w:r>
        <w:rPr/>
        <w:t>5.</w:t>
        <w:tab/>
      </w:r>
      <w:r>
        <w:rPr>
          <w:u w:val="single"/>
        </w:rPr>
        <w:t>Scheduling Deviations</w:t>
      </w:r>
      <w:r>
        <w:rPr/>
        <w:t>.</w:t>
      </w:r>
    </w:p>
    <w:p>
      <w:pPr>
        <w:pStyle w:val="Normal"/>
        <w:widowControl/>
        <w:spacing w:before="0" w:after="120"/>
        <w:ind w:firstLine="720" w:end="0"/>
        <w:rPr/>
      </w:pPr>
      <w:r>
        <w:rPr/>
        <w:t>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Houston shall have the right to invoice, and Shipper shall pay Houston if so invoiced, a scheduling fee ("Scheduling Fee") equal to twenty-five cents ($0.25) per MMBtu times the Scheduling Deviation, stated in terms of MMBtu, for said Month.  Shipper shall not be liable for any Scheduling Fee(s) resulting from Houston's failure to receive or deliver the Scheduled Volume of Gas tendered for delivery, or scheduled for receipt by Shipper.</w:t>
      </w:r>
    </w:p>
    <w:p>
      <w:pPr>
        <w:pStyle w:val="Normal"/>
        <w:keepNext w:val="true"/>
        <w:widowControl/>
        <w:spacing w:before="0" w:after="120"/>
        <w:ind w:firstLine="720" w:end="0"/>
        <w:rPr/>
      </w:pPr>
      <w:r>
        <w:rPr/>
        <w:t>6.</w:t>
        <w:tab/>
      </w:r>
      <w:r>
        <w:rPr>
          <w:u w:val="single"/>
        </w:rPr>
        <w:t>Contract Balancing</w:t>
      </w:r>
      <w:r>
        <w:rPr/>
        <w:t>.</w:t>
      </w:r>
    </w:p>
    <w:p>
      <w:pPr>
        <w:pStyle w:val="Normal"/>
        <w:widowControl/>
        <w:spacing w:before="0" w:after="120"/>
        <w:ind w:firstLine="720" w:end="0"/>
        <w:rPr/>
      </w:pPr>
      <w:r>
        <w:rPr/>
        <w:t xml:space="preserve">In the event there is an imbalance, in terms of MMBtu, caused by differences in receipts and deliveries of Gas hereunder, Houston shall notify Shipper of such imbalance and such imbalance shall be corrected during the Month following notification.  If at the end of any full Month following said notification there exists under this agreement a cumulative imbalance which exceeds ten percent (10%) of the total volume delivered hereunder during that Month ("Excess Imbalance"), then Houston shall have the right to invoice Shipper, and if so invoiced Shipper shall pay Houston a Monthly delayed transaction fee ("Imbalance Fee") equal to twenty-five cents ($0.25) per MMBtu times the Excess Imbalance, stated in terms of MMBtu.  Shipper shall not be liable for any Imbalance Fee(s) resulting from Houston's failure to receive or deliver the Scheduled Volume of Gas tendered for delivery, or scheduled for receipt by Shipper.  </w:t>
      </w:r>
    </w:p>
    <w:p>
      <w:pPr>
        <w:pStyle w:val="Normal"/>
        <w:keepNext w:val="true"/>
        <w:widowControl/>
        <w:spacing w:before="0" w:after="120"/>
        <w:ind w:firstLine="720" w:end="0"/>
        <w:rPr/>
      </w:pPr>
      <w:r>
        <w:rPr/>
        <w:t>7.</w:t>
        <w:tab/>
      </w:r>
      <w:r>
        <w:rPr>
          <w:u w:val="single"/>
        </w:rPr>
        <w:t>Ownership and Control</w:t>
      </w:r>
      <w:r>
        <w:rPr/>
        <w:t>.</w:t>
      </w:r>
    </w:p>
    <w:p>
      <w:pPr>
        <w:pStyle w:val="Normal"/>
        <w:widowControl/>
        <w:spacing w:before="0" w:after="120"/>
        <w:ind w:firstLine="720" w:end="0"/>
        <w:rPr/>
      </w:pPr>
      <w:r>
        <w:rPr/>
        <w:t>As between the parties hereto, Shipper shall be in control and in possession of the Gas delivered hereunder and responsible for any damages or injuries caused thereby until the same shall have been delivered to Houston at the Receipt Points.  After such delivery of Gas, Houston shall be deemed to be in exclusive control and possession thereof and responsible for any injuries or damages caused thereby until the same shall have been redelivered for the account of Shipper at the Delivery Points; provided, however, the parties hereto understand and acknowledge that title to all Gas transported hereunder shall at all times remain with Shipper.</w:t>
      </w:r>
    </w:p>
    <w:p>
      <w:pPr>
        <w:pStyle w:val="Normal"/>
        <w:keepNext w:val="true"/>
        <w:widowControl/>
        <w:spacing w:before="0" w:after="120"/>
        <w:ind w:firstLine="720" w:end="0"/>
        <w:rPr/>
      </w:pPr>
      <w:r>
        <w:rPr/>
        <w:t>8.</w:t>
        <w:tab/>
      </w:r>
      <w:r>
        <w:rPr>
          <w:u w:val="single"/>
        </w:rPr>
        <w:t>Pressures</w:t>
      </w:r>
      <w:r>
        <w:rPr/>
        <w:t>.</w:t>
      </w:r>
    </w:p>
    <w:p>
      <w:pPr>
        <w:pStyle w:val="Normal"/>
        <w:widowControl/>
        <w:spacing w:before="0" w:after="120"/>
        <w:ind w:firstLine="720" w:end="0"/>
        <w:rPr/>
      </w:pPr>
      <w:r>
        <w:rPr/>
        <w:t>The Gas delivered by Shipper to the Receipt Points hereunder shall be delivered at a pressure sufficient to overcome the operating pressure existing in Houston's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Delivery Point are made available and updated on an annual basis throughout the term of this Agreement.  If Shipper fails to comply with the foregoing covenant, Houston may, at Shipper's sole cost and expense, install such overpressure protection facilities (either upstream or downstream of the metering facilities, as Houston may elect) in order to ensure compliance with applicable laws and regulations.  The Gas delivered by Houston to the Delivery Points shall be delivered at the pressure existing in Houston's facilities from time to time.</w:t>
      </w:r>
    </w:p>
    <w:p>
      <w:pPr>
        <w:pStyle w:val="Normal"/>
        <w:keepNext w:val="true"/>
        <w:widowControl/>
        <w:spacing w:before="0" w:after="120"/>
        <w:ind w:firstLine="720" w:end="0"/>
        <w:rPr/>
      </w:pPr>
      <w:r>
        <w:rPr/>
        <w:t>9.</w:t>
        <w:tab/>
      </w:r>
      <w:r>
        <w:rPr>
          <w:u w:val="single"/>
        </w:rPr>
        <w:t>Quality</w:t>
      </w:r>
      <w:r>
        <w:rPr/>
        <w:t>.</w:t>
      </w:r>
    </w:p>
    <w:p>
      <w:pPr>
        <w:pStyle w:val="Normal"/>
        <w:widowControl/>
        <w:spacing w:before="0" w:after="120"/>
        <w:ind w:firstLine="720" w:end="0"/>
        <w:rPr/>
      </w:pPr>
      <w:r>
        <w:rPr/>
        <w:t>Shipper agrees that all Gas received by Houston at the Receipt Points hereunder and Houston agrees that all Gas delivered hereunder to or for the account of Shipper at the Delivery Points hereunder shall be merchantable Gas which shall:</w:t>
      </w:r>
    </w:p>
    <w:p>
      <w:pPr>
        <w:pStyle w:val="Normal"/>
        <w:widowControl/>
        <w:spacing w:before="0" w:after="120"/>
        <w:ind w:hanging="720" w:start="1440" w:end="720"/>
        <w:rPr/>
      </w:pPr>
      <w:r>
        <w:rPr/>
        <w:t>a.</w:t>
        <w:tab/>
        <w:t>Have a total heating value of not less than nine hundred fifty (950) British Thermal Units per cubic foot when saturated with wator vapor (gross basis);</w:t>
      </w:r>
    </w:p>
    <w:p>
      <w:pPr>
        <w:pStyle w:val="Normal"/>
        <w:widowControl/>
        <w:spacing w:before="0" w:after="120"/>
        <w:ind w:hanging="720" w:start="1440" w:end="720"/>
        <w:rPr/>
      </w:pPr>
      <w:r>
        <w:rPr/>
        <w:t>b.</w:t>
        <w:tab/>
        <w:t>Be commercially free of all dust, hydrocarbon liquids, water, suspended matter, all gums and gum forming constituents and any other objectionable substances;</w:t>
      </w:r>
    </w:p>
    <w:p>
      <w:pPr>
        <w:pStyle w:val="Normal"/>
        <w:widowControl/>
        <w:spacing w:before="0" w:after="120"/>
        <w:ind w:hanging="720" w:start="1440" w:end="720"/>
        <w:rPr/>
      </w:pPr>
      <w:r>
        <w:rPr/>
        <w:t>c.</w:t>
        <w:tab/>
        <w:t>Not contain more than twenty (20) grains of total sulfur, nor more than one-fourth (1/4) grain of hydrogen sulfide per one hundred (100) standard cubic feet at the Receipt Points nor more than one (1) grain of hydrogen sulfide per one hundred (100) standard cubic feet at the Delivery Points;</w:t>
      </w:r>
    </w:p>
    <w:p>
      <w:pPr>
        <w:pStyle w:val="Normal"/>
        <w:widowControl/>
        <w:spacing w:before="0" w:after="120"/>
        <w:ind w:hanging="720" w:start="1440" w:end="720"/>
        <w:rPr/>
      </w:pPr>
      <w:r>
        <w:rPr/>
        <w:t>d.</w:t>
        <w:tab/>
        <w:t>Contain no more than two percent (2%) by volume of carbon dioxide, two tenths of one percent (0.2%) by volume of oxygen, and three percent (3%) by volume of total inerts;</w:t>
      </w:r>
    </w:p>
    <w:p>
      <w:pPr>
        <w:pStyle w:val="Normal"/>
        <w:widowControl/>
        <w:spacing w:before="0" w:after="120"/>
        <w:ind w:hanging="720" w:start="1440" w:end="720"/>
        <w:rPr/>
      </w:pPr>
      <w:r>
        <w:rPr/>
        <w:t>e.</w:t>
        <w:tab/>
        <w:t>Have a temperature of not more than one hundred twenty degrees Fahrenheit (120</w:t>
      </w:r>
      <w:r>
        <w:rPr>
          <w:rFonts w:eastAsia="Symbol" w:cs="Symbol" w:ascii="Symbol" w:hAnsi="Symbol"/>
        </w:rPr>
        <w:sym w:font="Symbol" w:char="f0b0"/>
      </w:r>
      <w:r>
        <w:rPr/>
        <w:t>F.) or less than forty degrees Fahrenheit (40</w:t>
      </w:r>
      <w:r>
        <w:rPr>
          <w:rFonts w:eastAsia="Symbol" w:cs="Symbol" w:ascii="Symbol" w:hAnsi="Symbol"/>
        </w:rPr>
        <w:sym w:font="Symbol" w:char="f0b0"/>
      </w:r>
      <w:r>
        <w:rPr/>
        <w:t>F.);</w:t>
      </w:r>
    </w:p>
    <w:p>
      <w:pPr>
        <w:pStyle w:val="Normal"/>
        <w:widowControl/>
        <w:spacing w:before="0" w:after="120"/>
        <w:ind w:hanging="720" w:start="1440" w:end="720"/>
        <w:rPr/>
      </w:pPr>
      <w:r>
        <w:rPr/>
        <w:t>f.</w:t>
        <w:tab/>
        <w:t>Not contain more than seven (7) pounds of entrained water vapor per million cubic feet; and</w:t>
      </w:r>
    </w:p>
    <w:p>
      <w:pPr>
        <w:pStyle w:val="Normal"/>
        <w:widowControl/>
        <w:spacing w:before="0" w:after="120"/>
        <w:ind w:hanging="720" w:start="1440" w:end="720"/>
        <w:rPr/>
      </w:pPr>
      <w:r>
        <w:rPr/>
        <w:t>g.</w:t>
        <w:tab/>
        <w:t>Have a hydrocarbon dewpoint of 45˚F or less at pipeline operating pressures between 200 psig and 1100 psig.</w:t>
      </w:r>
    </w:p>
    <w:p>
      <w:pPr>
        <w:pStyle w:val="Normal"/>
        <w:widowControl/>
        <w:spacing w:before="0" w:after="120"/>
        <w:ind w:firstLine="720" w:end="0"/>
        <w:rPr/>
      </w:pPr>
      <w:r>
        <w:rPr/>
        <w:t>Shipper shall be responsible for odorizing any part of the Gas delivered hereunder to or for Shipper's account which is diverted and/or used by Shipper for any purpose for which odorization is required pursuant to regulations of the Railroad Commission of Texas.</w:t>
      </w:r>
    </w:p>
    <w:p>
      <w:pPr>
        <w:pStyle w:val="Normal"/>
        <w:widowControl/>
        <w:spacing w:before="0" w:after="120"/>
        <w:ind w:firstLine="720" w:end="0"/>
        <w:rPr/>
      </w:pPr>
      <w:r>
        <w:rPr/>
        <w:t>Should the Gas delivered to either party hereunder fail to meet the quality specifications above, either party shall notify the other and the party responsible for the deficiency shall make a diligent effort to correct such failure.  The party receiving the deficient Gas shall have the right to refuse to accept such Gas for so long as the other party is unable to deliver Gas conforming to such specifications, or either party may accept delivery of such Gas or any part thereof during such period.  Should either party's tender of deficient Gas hereunder extend for a period greater than sixty (60) Days, the receiving party shall have the right and option at the end of such sixty (60) Days, and as long thereafter as the other party continues to tender such non-conforming Gas, to terminate this Agreement on twenty-four (24) hours advance written notice to the other party stating the effective date of such termination.</w:t>
      </w:r>
    </w:p>
    <w:p>
      <w:pPr>
        <w:pStyle w:val="Normal"/>
        <w:keepNext w:val="true"/>
        <w:widowControl/>
        <w:spacing w:before="0" w:after="120"/>
        <w:ind w:firstLine="720" w:end="0"/>
        <w:rPr/>
      </w:pPr>
      <w:r>
        <w:rPr/>
        <w:t>10.</w:t>
        <w:tab/>
      </w:r>
      <w:r>
        <w:rPr>
          <w:u w:val="single"/>
        </w:rPr>
        <w:t>Metering Facilities and Measurement</w:t>
      </w:r>
      <w:r>
        <w:rPr/>
        <w:t>.</w:t>
      </w:r>
    </w:p>
    <w:p>
      <w:pPr>
        <w:pStyle w:val="Normal"/>
        <w:widowControl/>
        <w:spacing w:before="0" w:after="120"/>
        <w:ind w:firstLine="720" w:end="0"/>
        <w:rPr/>
      </w:pPr>
      <w:r>
        <w:rPr/>
        <w:t>Except as otherwise agreed by Houston, the metering facilities to measure the volumes of Gas delivered at each Receipt Point and Delivery Point shall be maintained and operated or caused to be maintained and operated by Houston.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sixty-five one hundredths (14.65) pounds per square inch absolute.  Atmospheric pressure for each of the Receipt Points and Delivery Points shall be assumed to be the pressure value determined by Houston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Houston through use of a continuous Gas sample accumulator, on premises analysis, or by spot samples taken at the Receipt Points and Delivery Points at intervals determined to be appropriate by Houston.  Results from a continuous sampler shall be used to calculate volumes delivered during the same period in which the sample was accumulated; provided, however, that Houston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Houston under this Agreement during any Month at a given Receipt Point equals a quantity less than the product of (i) 300 MMBtu per Day </w:t>
      </w:r>
      <w:r>
        <w:rPr>
          <w:u w:val="single"/>
        </w:rPr>
        <w:t>times</w:t>
      </w:r>
      <w:r>
        <w:rPr/>
        <w:t xml:space="preserve"> (ii) the number of Days in the Month during which Shipper tendered Gas to Houston in accordance with a confirmed nomination, then Houston may, at its election, charge Shipper a metering fee ("Metering Fee") of $350 for such Month with respect to each such Receipt Point.</w:t>
      </w:r>
    </w:p>
    <w:p>
      <w:pPr>
        <w:pStyle w:val="Normal"/>
        <w:keepNext w:val="true"/>
        <w:widowControl/>
        <w:spacing w:before="0" w:after="120"/>
        <w:ind w:firstLine="720" w:end="0"/>
        <w:rPr/>
      </w:pPr>
      <w:r>
        <w:rPr/>
        <w:t>11.</w:t>
        <w:tab/>
      </w:r>
      <w:r>
        <w:rPr>
          <w:u w:val="single"/>
        </w:rPr>
        <w:t>Meter Test</w:t>
      </w:r>
      <w:r>
        <w:rPr/>
        <w:t>.</w:t>
      </w:r>
    </w:p>
    <w:p>
      <w:pPr>
        <w:pStyle w:val="Normal"/>
        <w:widowControl/>
        <w:spacing w:before="0" w:after="120"/>
        <w:ind w:firstLine="720" w:end="0"/>
        <w:rPr/>
      </w:pPr>
      <w:r>
        <w:rPr/>
        <w:t>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widowControl/>
        <w:spacing w:before="0" w:after="120"/>
        <w:ind w:hanging="720" w:start="1440" w:end="720"/>
        <w:rPr/>
      </w:pPr>
      <w:r>
        <w:rPr/>
        <w:t>a.</w:t>
        <w:tab/>
        <w:t>By using the registration of any check measuring equipment, if installed and registering;</w:t>
      </w:r>
    </w:p>
    <w:p>
      <w:pPr>
        <w:pStyle w:val="Normal"/>
        <w:widowControl/>
        <w:spacing w:before="0" w:after="120"/>
        <w:ind w:hanging="720" w:start="1440" w:end="720"/>
        <w:rPr/>
      </w:pPr>
      <w:r>
        <w:rPr/>
        <w:t>b.</w:t>
        <w:tab/>
        <w:t>By correcting the error if the percentage of error is ascertainable by calibration, test or mathematical calculations; and</w:t>
      </w:r>
    </w:p>
    <w:p>
      <w:pPr>
        <w:pStyle w:val="Normal"/>
        <w:widowControl/>
        <w:spacing w:before="0" w:after="120"/>
        <w:ind w:hanging="720" w:start="1440" w:end="720"/>
        <w:rPr/>
      </w:pPr>
      <w:r>
        <w:rPr/>
        <w:t>c.</w:t>
        <w:tab/>
        <w:t>By estimating the quantity of deliveries by deliveries during preceding periods under similar conditions when the meter was registering accurately.</w:t>
      </w:r>
    </w:p>
    <w:p>
      <w:pPr>
        <w:pStyle w:val="Normal"/>
        <w:widowControl/>
        <w:spacing w:before="0" w:after="120"/>
        <w:ind w:firstLine="720" w:end="0"/>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widowControl/>
        <w:spacing w:before="0" w:after="120"/>
        <w:ind w:firstLine="720" w:end="0"/>
        <w:rPr/>
      </w:pPr>
      <w:r>
        <w:rPr/>
        <w:t>If Houston determines that any measurement error results from pulsation, Shipper shall cause the owner of the facilities that are causing the pulsation to (at its or their expense), within sixty (60) Days of its receipt of notification, reduce the pulsation to a level such that the square root error in respect of pulsation is not greater than one percent (1%).</w:t>
      </w:r>
    </w:p>
    <w:p>
      <w:pPr>
        <w:pStyle w:val="Normal"/>
        <w:keepNext w:val="true"/>
        <w:widowControl/>
        <w:spacing w:before="0" w:after="120"/>
        <w:ind w:firstLine="720" w:end="0"/>
        <w:rPr/>
      </w:pPr>
      <w:r>
        <w:rPr/>
        <w:t>12.</w:t>
        <w:tab/>
      </w:r>
      <w:r>
        <w:rPr>
          <w:u w:val="single"/>
        </w:rPr>
        <w:t>Force Majeure</w:t>
      </w:r>
      <w:r>
        <w:rPr/>
        <w:t>.</w:t>
      </w:r>
    </w:p>
    <w:p>
      <w:pPr>
        <w:pStyle w:val="Normal"/>
        <w:widowControl/>
        <w:spacing w:before="0" w:after="120"/>
        <w:ind w:firstLine="720" w:end="0"/>
        <w:rPr/>
      </w:pPr>
      <w:r>
        <w:rPr/>
        <w:t xml:space="preserve">a.  </w:t>
      </w:r>
      <w:r>
        <w:rPr>
          <w:u w:val="single"/>
        </w:rPr>
        <w:t>Definition</w:t>
      </w:r>
      <w:r>
        <w:rPr/>
        <w:t>.  An event of “</w:t>
      </w:r>
      <w:r>
        <w:rPr>
          <w:u w:val="single"/>
        </w:rPr>
        <w:t>Force Majeure</w:t>
      </w:r>
      <w:r>
        <w:rPr/>
        <w:t>” shall mean a restraint on Houston’s performance of one or more of its obligations under this Agreement (“</w:t>
      </w:r>
      <w:r>
        <w:rPr>
          <w:u w:val="single"/>
        </w:rPr>
        <w:t>Obligation</w:t>
      </w:r>
      <w:r>
        <w:rPr/>
        <w:t>” or “</w:t>
      </w:r>
      <w:r>
        <w:rPr>
          <w:u w:val="single"/>
        </w:rPr>
        <w:t>Obligations</w:t>
      </w:r>
      <w:r>
        <w:rPr/>
        <w:t>”) resulting from a cause not within the control of Houston (including, but not limited to, acts of negligence or willful misconduct of third parties, whether or not under the control, contract or supervision of Houston) and which, by the exercise of due diligence and planning, that Houston was unable to prevent.  In this Section 12, the expression “</w:t>
      </w:r>
      <w:r>
        <w:rPr>
          <w:u w:val="single"/>
        </w:rPr>
        <w:t>due diligence and planning</w:t>
      </w:r>
      <w:r>
        <w:rPr/>
        <w:t>” shall mean that the standards and practices generally prevailing among operators of similar intrastate pipeline facilities in the United States have been adhered to.</w:t>
      </w:r>
    </w:p>
    <w:p>
      <w:pPr>
        <w:pStyle w:val="Normal"/>
        <w:widowControl/>
        <w:spacing w:before="0" w:after="120"/>
        <w:ind w:firstLine="720" w:end="0"/>
        <w:rPr/>
      </w:pPr>
      <w:r>
        <w:rPr/>
        <w:t xml:space="preserve">b.  </w:t>
      </w:r>
      <w:r>
        <w:rPr>
          <w:u w:val="single"/>
        </w:rPr>
        <w:t>Suspension</w:t>
      </w:r>
      <w:r>
        <w:rPr/>
        <w:t xml:space="preserve">.  If, due to an event of Force Majeure, Houston is unable to perform any Obligation in whole or in part, it shall be entitled, </w:t>
      </w:r>
      <w:r>
        <w:rPr>
          <w:i/>
        </w:rPr>
        <w:t>unless otherwise</w:t>
      </w:r>
      <w:r>
        <w:rPr/>
        <w:t xml:space="preserve"> provided to the contrary in this Agreement, to claim suspension of that Obligation to the extent of and for the duration of the event of Force Majeure; </w:t>
      </w:r>
      <w:r>
        <w:rPr>
          <w:i/>
          <w:u w:val="single"/>
        </w:rPr>
        <w:t>provided,</w:t>
      </w:r>
      <w:r>
        <w:rPr>
          <w:i/>
        </w:rPr>
        <w:t xml:space="preserve"> </w:t>
      </w:r>
      <w:r>
        <w:rPr>
          <w:i/>
          <w:u w:val="single"/>
        </w:rPr>
        <w:t>however</w:t>
      </w:r>
      <w:r>
        <w:rPr/>
        <w:t>,</w:t>
      </w:r>
      <w:r>
        <w:rPr>
          <w:i/>
        </w:rPr>
        <w:t xml:space="preserve"> </w:t>
      </w:r>
      <w:r>
        <w:rPr>
          <w:i/>
          <w:u w:val="single"/>
        </w:rPr>
        <w:t>that</w:t>
      </w:r>
      <w:r>
        <w:rPr/>
        <w:t xml:space="preserve"> Houston gives written notice to Shipper, setting out the details of such Force Majeure event and its expected duration (if known) as soon as reasonably possible after the commencement of the event of Force Majeure.</w:t>
      </w:r>
    </w:p>
    <w:p>
      <w:pPr>
        <w:pStyle w:val="Normal"/>
        <w:widowControl/>
        <w:spacing w:before="0" w:after="120"/>
        <w:ind w:firstLine="720" w:end="0"/>
        <w:rPr/>
      </w:pPr>
      <w:r>
        <w:rPr/>
        <w:t xml:space="preserve">c.  </w:t>
      </w:r>
      <w:r>
        <w:rPr>
          <w:u w:val="single"/>
        </w:rPr>
        <w:t>Mitigation</w:t>
      </w:r>
      <w:r>
        <w:rPr/>
        <w:t xml:space="preserve">.  When Houston has claimed suspension of an Obligation under Subsection b above, Houston shall be relieved of its commitment to perform that Obligation to the extent and for the period that the event of Force Majeure restrains Houston’s performance of that Obligation, </w:t>
      </w:r>
      <w:r>
        <w:rPr>
          <w:i/>
          <w:u w:val="single"/>
        </w:rPr>
        <w:t>provided</w:t>
      </w:r>
      <w:r>
        <w:rPr/>
        <w:t xml:space="preserve">, </w:t>
      </w:r>
      <w:r>
        <w:rPr>
          <w:i/>
          <w:u w:val="single"/>
        </w:rPr>
        <w:t>however</w:t>
      </w:r>
      <w:r>
        <w:rPr>
          <w:u w:val="single"/>
        </w:rPr>
        <w:t>,</w:t>
      </w:r>
      <w:r>
        <w:rPr>
          <w:i/>
        </w:rPr>
        <w:t xml:space="preserve"> </w:t>
      </w:r>
      <w:r>
        <w:rPr>
          <w:i/>
          <w:u w:val="single"/>
        </w:rPr>
        <w:t>that</w:t>
      </w:r>
      <w:r>
        <w:rPr/>
        <w:t>:</w:t>
      </w:r>
    </w:p>
    <w:p>
      <w:pPr>
        <w:pStyle w:val="Normal"/>
        <w:widowControl/>
        <w:spacing w:before="0" w:after="120"/>
        <w:ind w:firstLine="720" w:start="720" w:end="0"/>
        <w:rPr/>
      </w:pPr>
      <w:r>
        <w:rPr/>
        <w:t>i.  Houston effects those measures that are commercially reasonable in the circumstances to mitigate the cause of and effect of Force Majeure;</w:t>
      </w:r>
    </w:p>
    <w:p>
      <w:pPr>
        <w:pStyle w:val="Normal"/>
        <w:widowControl/>
        <w:spacing w:before="0" w:after="120"/>
        <w:ind w:firstLine="720" w:start="720" w:end="0"/>
        <w:rPr/>
      </w:pPr>
      <w:r>
        <w:rPr/>
        <w:t>ii.  Houston recommences performance of such Obligation to the extent reasonably possible during the cessation of and upon the conclusion of the event of Force Majeure; and</w:t>
      </w:r>
    </w:p>
    <w:p>
      <w:pPr>
        <w:pStyle w:val="Normal"/>
        <w:widowControl/>
        <w:spacing w:before="0" w:after="120"/>
        <w:ind w:firstLine="720" w:start="720" w:end="0"/>
        <w:rPr/>
      </w:pPr>
      <w:r>
        <w:rPr/>
        <w:t>iii.  as soon as reasonably possible after the conclusion of the event of Force Majeure, gives notice to Shipper of the date of such conclusion.</w:t>
      </w:r>
    </w:p>
    <w:p>
      <w:pPr>
        <w:pStyle w:val="Normal"/>
        <w:widowControl/>
        <w:spacing w:before="0" w:after="120"/>
        <w:ind w:firstLine="720" w:end="0"/>
        <w:rPr/>
      </w:pPr>
      <w:r>
        <w:rPr/>
        <w:t xml:space="preserve">d.  </w:t>
      </w:r>
      <w:r>
        <w:rPr>
          <w:u w:val="single"/>
        </w:rPr>
        <w:t>Labor Disputes</w:t>
      </w:r>
      <w:r>
        <w:rPr/>
        <w:t>.  Notwithstanding the above, the settlement of a strike, lockout or other industrial disturbance shall be entirely within the discretion of the Houston.</w:t>
      </w:r>
    </w:p>
    <w:p>
      <w:pPr>
        <w:pStyle w:val="Normal"/>
        <w:widowControl/>
        <w:spacing w:before="0" w:after="120"/>
        <w:ind w:firstLine="720" w:end="0"/>
        <w:rPr/>
      </w:pPr>
      <w:r>
        <w:rPr/>
        <w:t xml:space="preserve">e.  </w:t>
      </w:r>
      <w:r>
        <w:rPr>
          <w:u w:val="single"/>
        </w:rPr>
        <w:t>Dependent Obligations</w:t>
      </w:r>
      <w:r>
        <w:rPr/>
        <w:t>.  If pursuant to the provisions of Subsection b above, an Obligation of Houston is suspended in whole or in part, the Obligations of Shipper (other than Shipper's payment obligations hereunder) shall also be suspended if and to the extent that such Obligations of Shipper are dependent upon or are a consequence of the performance of that Obligation.</w:t>
      </w:r>
    </w:p>
    <w:p>
      <w:pPr>
        <w:pStyle w:val="Normal"/>
        <w:widowControl/>
        <w:spacing w:before="0" w:after="120"/>
        <w:ind w:firstLine="720" w:end="0"/>
        <w:rPr/>
      </w:pPr>
      <w:r>
        <w:rPr/>
        <w:t xml:space="preserve">f.  </w:t>
      </w:r>
      <w:r>
        <w:rPr>
          <w:u w:val="single"/>
        </w:rPr>
        <w:t>Extended Force Majeure</w:t>
      </w:r>
      <w:r>
        <w:rPr/>
        <w:t>.  If, due to any event of Force Majeure, Houston cannot perform its Obligations fully or partially during any period of twenty</w:t>
        <w:noBreakHyphen/>
        <w:t>four (24) consecutive Months, then within a further period of ninety (90) Days but not thereafter, either party may give the other written notice reducing the Maximum Daily Transportation Quantity and the Maximum Daily Delivery Quantities hereunder by the quantities that Houston has consistently been unable to receive, transport and deliver in response to Shipper’s nominations made during the last twelve (12) Months of such twenty</w:t>
        <w:noBreakHyphen/>
        <w:t>four (24) Month period.</w:t>
      </w:r>
    </w:p>
    <w:p>
      <w:pPr>
        <w:pStyle w:val="Normal"/>
        <w:widowControl/>
        <w:spacing w:before="0" w:after="120"/>
        <w:ind w:firstLine="720" w:end="0"/>
        <w:rPr/>
      </w:pPr>
      <w:r>
        <w:rPr/>
        <w:t xml:space="preserve">g. </w:t>
      </w:r>
      <w:r>
        <w:rPr>
          <w:u w:val="single"/>
        </w:rPr>
        <w:t>Exclusions</w:t>
      </w:r>
      <w:r>
        <w:rPr/>
        <w:t>.  Houston shall not be entitled to the benefit of the provisions of Force Majeure hereunder if:  (i) the failure resulting in an event of Force Majeure was caused by the gross negligence of Houston; (ii) the failure was caused or extended by Houston where Houston failed to remedy the event by making all reasonable efforts (short of litigation, if such remedy would require litigation); or (iii) the failure was caused by lack of funds.</w:t>
      </w:r>
    </w:p>
    <w:p>
      <w:pPr>
        <w:pStyle w:val="Normal"/>
        <w:keepNext w:val="true"/>
        <w:widowControl/>
        <w:spacing w:before="0" w:after="120"/>
        <w:ind w:firstLine="720" w:end="0"/>
        <w:rPr/>
      </w:pPr>
      <w:r>
        <w:rPr/>
        <w:t>13.</w:t>
        <w:tab/>
      </w:r>
      <w:r>
        <w:rPr>
          <w:u w:val="single"/>
        </w:rPr>
        <w:t>Billing and Payment</w:t>
      </w:r>
      <w:r>
        <w:rPr/>
        <w:t>.</w:t>
      </w:r>
    </w:p>
    <w:p>
      <w:pPr>
        <w:pStyle w:val="Normal"/>
        <w:widowControl/>
        <w:spacing w:before="0" w:after="120"/>
        <w:ind w:firstLine="720" w:end="0"/>
        <w:rPr/>
      </w:pPr>
      <w:r>
        <w:rPr/>
        <w:t>On or before the fifteenth (15th) Day of each calendar month, Houston will render to Shipper a statement setting forth, in terms of Mcf's and MMBtu's, the total quantity of Gas received hereunder at the Receipt Points and the quantity of Gas delivered hereunder at the Delivery Points during the immediately preceding Month and the amount payable therefor.  Additionally, such statement shall set forth the previous Month's Metering Fee(s) due, if applicable, together with the previous Month's Scheduling Deviation and the applicable Scheduling Fee due, any Excess Imbalance existing and the applicable Imbalance Fee due, and the cumulative imbalance existing at the end of the current Month.  Shipper agrees to pay Houston by wire transfer (according to the instructions set forth in the applicable statement or invoice) the full amount payable according to such statement on or before ten (10) Days following the receipt thereof by Shipper.  In the event such quantities are estimated for any period, corrected statements shall be rendered by Houston to Shipper and paid by Shipper or refunded or credited by Houston, as the case may be, in each instance in which the actual quantity received or delivered hereunder with respect to a Month shall be determined to be at variance with the estimated quantity theretofore made the basis of billing and payment hereunder.  Shipper shall, if requested by Houston at any time during the term of this Agreement, provide Houston with such payment securities as may be acceptable to Houston. In the event Shipper fails to promptly provide payment securities acceptable to Houston when requested by Houston, Houston and Shipper agree that Houston may suspend its performance hereunder until such time as Shipper furnishes acceptable payment securities to Houston.  In addition to all other remedies available to Houston, should Shipper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w:t>
        <w:softHyphen/>
        <w:t>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Normal"/>
        <w:keepNext w:val="true"/>
        <w:widowControl/>
        <w:spacing w:before="0" w:after="120"/>
        <w:ind w:firstLine="720" w:end="0"/>
        <w:rPr/>
      </w:pPr>
      <w:r>
        <w:rPr/>
        <w:t>14.</w:t>
        <w:tab/>
      </w:r>
      <w:r>
        <w:rPr>
          <w:u w:val="single"/>
        </w:rPr>
        <w:t>Assignment</w:t>
      </w:r>
      <w:r>
        <w:rPr/>
        <w:t>.</w:t>
      </w:r>
    </w:p>
    <w:p>
      <w:pPr>
        <w:pStyle w:val="Normal"/>
        <w:widowControl/>
        <w:spacing w:before="0" w:after="120"/>
        <w:ind w:firstLine="720" w:end="0"/>
        <w:rPr/>
      </w:pPr>
      <w:r>
        <w:rPr/>
        <w:t>Shipper shall not assign or transfer its rights hereunder without first obtaining Houston's written consent to such assignment or transfer.</w:t>
      </w:r>
    </w:p>
    <w:p>
      <w:pPr>
        <w:pStyle w:val="Normal"/>
        <w:keepNext w:val="true"/>
        <w:widowControl/>
        <w:spacing w:before="0" w:after="120"/>
        <w:ind w:firstLine="720" w:end="0"/>
        <w:rPr/>
      </w:pPr>
      <w:r>
        <w:rPr/>
        <w:t>15.</w:t>
        <w:tab/>
      </w:r>
      <w:r>
        <w:rPr>
          <w:u w:val="single"/>
        </w:rPr>
        <w:t>Taxes</w:t>
      </w:r>
      <w:r>
        <w:rPr/>
        <w:t>.</w:t>
      </w:r>
    </w:p>
    <w:p>
      <w:pPr>
        <w:pStyle w:val="Normal"/>
        <w:widowControl/>
        <w:spacing w:before="0" w:after="120"/>
        <w:ind w:firstLine="720" w:end="0"/>
        <w:rPr/>
      </w:pPr>
      <w:r>
        <w:rPr/>
        <w:t>Shipper agrees to reimburse Houston upon invoice for the full amount of any taxes or charges (of every kind and character except corporate franchise and excess profits taxes and taxes measured by net income) levied, assessed or fixed by any municipal or governmental authority against Houston or its business in connection with or attributable to the volumes, value or gross receipts from the transportation of the Gas received from Shipper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transportation of such Gas or upon some other basis.</w:t>
      </w:r>
    </w:p>
    <w:p>
      <w:pPr>
        <w:pStyle w:val="Normal"/>
        <w:keepNext w:val="true"/>
        <w:widowControl/>
        <w:spacing w:before="0" w:after="120"/>
        <w:ind w:firstLine="720" w:end="0"/>
        <w:rPr/>
      </w:pPr>
      <w:r>
        <w:rPr/>
        <w:t>16.</w:t>
        <w:tab/>
      </w:r>
      <w:r>
        <w:rPr>
          <w:u w:val="single"/>
        </w:rPr>
        <w:t>Applicable Law</w:t>
      </w:r>
      <w:r>
        <w:rPr/>
        <w:t>.</w:t>
      </w:r>
    </w:p>
    <w:p>
      <w:pPr>
        <w:pStyle w:val="Normal"/>
        <w:widowControl/>
        <w:spacing w:before="0" w:after="120"/>
        <w:ind w:firstLine="720" w:end="0"/>
        <w:rPr/>
      </w:pPr>
      <w:r>
        <w:rPr/>
        <w:t>THIS AGREEMENT SHALL BE INTERPRETED, CONSTRUED AND GOVERNED BY THE LAWS OF THE STATE OF TEXAS EXCLUDING, HOWEVER, ANY CONFLICT OF LAWS RULE WHICH WOULD APPLY THE LAW OF ANOTHER JURISDICTION.</w:t>
      </w:r>
    </w:p>
    <w:p>
      <w:pPr>
        <w:pStyle w:val="Normal"/>
        <w:widowControl/>
        <w:numPr>
          <w:ilvl w:val="0"/>
          <w:numId w:val="2"/>
        </w:numPr>
        <w:tabs>
          <w:tab w:val="clear" w:pos="720"/>
          <w:tab w:val="left" w:pos="1080" w:leader="none"/>
        </w:tabs>
        <w:spacing w:before="0" w:after="120"/>
        <w:ind w:hanging="360" w:start="1080" w:end="0"/>
        <w:rPr>
          <w:color w:val="000000"/>
        </w:rPr>
      </w:pPr>
      <w:r>
        <w:rPr/>
        <w:t xml:space="preserve">      </w:t>
      </w:r>
      <w:r>
        <w:rPr>
          <w:u w:val="single"/>
        </w:rPr>
        <w:t>Arbitration.</w:t>
      </w:r>
    </w:p>
    <w:p>
      <w:pPr>
        <w:pStyle w:val="Normal"/>
        <w:widowControl/>
        <w:spacing w:before="0" w:after="120"/>
        <w:ind w:firstLine="720" w:end="0"/>
        <w:rPr/>
      </w:pPr>
      <w:r>
        <w:rPr/>
        <w:t>Any</w:t>
      </w:r>
      <w:r>
        <w:rPr>
          <w:color w:val="000000"/>
        </w:rPr>
        <w:t xml:space="preserve"> dispute arising out of or in connection with this Agreement, including any question regarding its existence, validity or termination, shall be referred to and finally resolved by binding arbitration governed by the Federal Arbitration Act and conducted in accordance with the American Arbitration Association Commercial Arbitration Rules, which Rules are deemed to be incorporated by reference into this clause.  The number of arbitrators shall be three, each party having the right to appoint one arbitrator, who shall together then appoint a third neutral arbitrator within 30 days in accordance with the Rules.  The third neutral arbitrator shall be a person who has five years or more experience involving transactions related to the intrastate natural gas transportation market.  The place of arbitration shall be Houston, Texas, USA, where all hearings and meetings shall be held.  The language to be used in the arbitral proceedings shall be English.  The parties hereby expressly waive any right of appeal to any court having jurisdiction on any question of fact or law.  There will be no written transcript or record of the arbitration proceeding.  The arbitrators will only make their award and will not render a written opinion explaining their award.  It is expressly agreed that the arbitrators shall have no authority to award attorney's fees, or consequential, special, indirect, treble, exemplary or punitive damages of any type under any circumstances regardless of whether such damages may be available under Texas law, or federal law, or under the Federal Arbitration Act, </w:t>
      </w:r>
      <w:r>
        <w:rPr>
          <w:b/>
          <w:color w:val="000000"/>
        </w:rPr>
        <w:t>the parties hereby waiving their rights, if any, to recover attorneys' fees and consequential, special, indirect, treble, exemplary or punitive damages with respect to this Agreement</w:t>
      </w:r>
      <w:r>
        <w:rPr>
          <w:color w:val="000000"/>
        </w:rPr>
        <w:t>.  Any and all of the arbitrators' orders and decisions may be enforceable in, and judgment upon any award rendered in the arbitration proceeding may be confirmed and entered by, any court having jurisdiction.  The parties agree that all arbitration proceedings conducted hereunder and the decision of the arbitrators shall be kept confidential and not disclosed, except to a party's affiliates, accountants, and lawyers, or to the extent necessary to enforce the decision.</w:t>
      </w:r>
    </w:p>
    <w:p>
      <w:pPr>
        <w:pStyle w:val="Normal"/>
        <w:keepNext w:val="true"/>
        <w:widowControl/>
        <w:spacing w:before="0" w:after="120"/>
        <w:ind w:firstLine="720" w:end="0"/>
        <w:rPr/>
      </w:pPr>
      <w:r>
        <w:rPr/>
        <w:t>18.</w:t>
        <w:tab/>
      </w:r>
      <w:r>
        <w:rPr>
          <w:u w:val="single"/>
        </w:rPr>
        <w:t>Governmental Regulations</w:t>
      </w:r>
      <w:r>
        <w:rPr/>
        <w:t>.</w:t>
      </w:r>
    </w:p>
    <w:p>
      <w:pPr>
        <w:pStyle w:val="Normal"/>
        <w:widowControl/>
        <w:spacing w:before="0" w:after="120"/>
        <w:ind w:firstLine="720" w:end="0"/>
        <w:rPr/>
      </w:pPr>
      <w:r>
        <w:rPr/>
        <w:t>a.</w:t>
        <w:tab/>
        <w:t>This Agreement and the transportation arrangement hereunder are subject to all valid existing and future laws, orders, rules, regulations and proclamations of duly constituted governmental authorities having jurisdiction or control over the parties hereto or the subject matter hereof.  If at any time any such governmental authority shall take any action which is, with respect to or as a result of the transportation service provided for under this Agreement, designed to subject or otherwise subjects either party or any of its pipeline or related facilities to any greater or different regulation or jurisdiction than that existing on the date hereof (or thereafter as such regulation or jurisdiction may have changed and been accepted by such party), then upon written notice to the other, the party so affected may at any time thereafter or effective one (1) Day prior to the effective date of such action terminate this Agreement without further obligation to the other party except in the case of Shipper to make payment for services rendered hereunder and, in the case of either Houston or Shipper, to correct any Gas imbalance existing on the date of such termination.</w:t>
      </w:r>
    </w:p>
    <w:p>
      <w:pPr>
        <w:pStyle w:val="Normal"/>
        <w:widowControl/>
        <w:numPr>
          <w:ilvl w:val="0"/>
          <w:numId w:val="3"/>
        </w:numPr>
        <w:tabs>
          <w:tab w:val="clear" w:pos="720"/>
          <w:tab w:val="left" w:pos="1440" w:leader="none"/>
        </w:tabs>
        <w:spacing w:before="0" w:after="120"/>
        <w:ind w:hanging="720" w:start="1440" w:end="0"/>
        <w:rPr/>
      </w:pPr>
      <w:r>
        <w:rPr/>
        <w:t>In the event any governmental or regulatory body exercising jurisdiction over the service hereunder establishes fees for applications or reports filed in conjunction with such service, Shipper shall reimburse or cause to be reimbursed Houston upon billing for any fees so paid by Houston.</w:t>
      </w:r>
    </w:p>
    <w:p>
      <w:pPr>
        <w:pStyle w:val="Normal"/>
        <w:keepNext w:val="true"/>
        <w:widowControl/>
        <w:spacing w:before="0" w:after="120"/>
        <w:ind w:firstLine="720" w:end="0"/>
        <w:rPr/>
      </w:pPr>
      <w:r>
        <w:rPr/>
        <w:t>19.</w:t>
        <w:tab/>
      </w:r>
      <w:r>
        <w:rPr>
          <w:u w:val="single"/>
        </w:rPr>
        <w:t>Miscellaneous</w:t>
      </w:r>
      <w:r>
        <w:rPr/>
        <w:t>.</w:t>
      </w:r>
    </w:p>
    <w:p>
      <w:pPr>
        <w:pStyle w:val="Normal"/>
        <w:widowControl/>
        <w:spacing w:before="0" w:after="120"/>
        <w:ind w:firstLine="720" w:end="0"/>
        <w:rPr/>
      </w:pPr>
      <w:r>
        <w:rPr/>
        <w:t>a.</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Normal"/>
        <w:widowControl/>
        <w:spacing w:before="0" w:after="120"/>
        <w:ind w:firstLine="720" w:end="0"/>
        <w:rPr/>
      </w:pPr>
      <w:r>
        <w:rPr/>
        <w:t>b.</w:t>
        <w:tab/>
        <w:t>It is further agreed that no modification or change herein shall be enforceable unless reduced to writing and executed by both parties.</w:t>
      </w:r>
    </w:p>
    <w:p>
      <w:pPr>
        <w:pStyle w:val="Normal"/>
        <w:widowControl/>
        <w:spacing w:before="0" w:after="120"/>
        <w:ind w:firstLine="720" w:end="0"/>
        <w:rPr/>
      </w:pPr>
      <w:r>
        <w:rPr/>
        <w:t>c.</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Normal"/>
        <w:widowControl/>
        <w:spacing w:before="0" w:after="120"/>
        <w:ind w:firstLine="720" w:end="0"/>
        <w:rPr/>
      </w:pPr>
      <w:r>
        <w:rPr/>
        <w:t>d.</w:t>
        <w:tab/>
        <w:t>The provisions of this Agreement shall not impart rights enforceable by any person, firm or organization not a party or not bound as a party, or not a successor or assignee of a party bound to this Agreement.</w:t>
      </w:r>
    </w:p>
    <w:p>
      <w:pPr>
        <w:pStyle w:val="Normal"/>
        <w:widowControl/>
        <w:spacing w:before="0" w:after="120"/>
        <w:ind w:firstLine="720" w:end="0"/>
        <w:rPr/>
      </w:pPr>
      <w:r>
        <w:rPr/>
        <w:t>e.</w:t>
        <w:tab/>
        <w:t xml:space="preserve">In no event shall Houston be liable to Shipper for any special, indirect, incidental, or consequential damages of any character, including without limitation, loss of use, lost profits or revenues, cost of capital, cancellation of permits, unabsorbed transportation or storage charges, termination of contracts, tort or contract claims other than contract claims arising out of this Agreement, lost production or any other form of consequential damage suffered by Shipper, and irrespective of whether claims for such damages are based upon contract, warranty, negligence, strict liability or otherwise. </w:t>
      </w:r>
    </w:p>
    <w:p>
      <w:pPr>
        <w:pStyle w:val="Normal"/>
        <w:widowControl/>
        <w:ind w:firstLine="720" w:end="0"/>
        <w:rPr/>
      </w:pPr>
      <w:r>
        <w:rPr/>
        <w:t>f.</w:t>
        <w:tab/>
        <w:t>Houston is in the process of developing and implementing a cashout procedure that is intended to modify and/or replace the Scheduling Deviation and the Contract Balancing mechanisms set forth in Sections 5 and 6 of this Appendix "A".  At such time such a cashout procedure is generally implemented with respect to its other transportation shippers, Houston shall have the right, at its option, to implement such cashout procedures under this Agreement in addition to or in replacement and substitution for the provisions of Sections 5 and 6 hereof.</w:t>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864"/>
          <w:pgNumType w:start="1" w:fmt="decimal"/>
          <w:formProt w:val="false"/>
          <w:textDirection w:val="lrTb"/>
          <w:docGrid w:type="default" w:linePitch="360" w:charSpace="0"/>
        </w:sectPr>
        <w:pStyle w:val="Normal"/>
        <w:widowControl/>
        <w:rPr/>
      </w:pPr>
      <w:r>
        <w:rPr/>
      </w:r>
    </w:p>
    <w:p>
      <w:pPr>
        <w:pStyle w:val="Normal"/>
        <w:widowControl/>
        <w:jc w:val="center"/>
        <w:rPr>
          <w:b/>
        </w:rPr>
      </w:pPr>
      <w:r>
        <w:rPr>
          <w:b/>
        </w:rPr>
        <w:t>EXHIBIT "A"</w:t>
      </w:r>
    </w:p>
    <w:p>
      <w:pPr>
        <w:pStyle w:val="Normal"/>
        <w:widowControl/>
        <w:jc w:val="center"/>
        <w:rPr/>
      </w:pPr>
      <w:r>
        <w:rPr/>
        <w:t>INTRASTATE AGREEMENT</w:t>
      </w:r>
    </w:p>
    <w:p>
      <w:pPr>
        <w:pStyle w:val="Normal"/>
        <w:widowControl/>
        <w:jc w:val="center"/>
        <w:rPr/>
      </w:pPr>
      <w:r>
        <w:rPr/>
        <w:t>Receipt Points to</w:t>
      </w:r>
    </w:p>
    <w:p>
      <w:pPr>
        <w:pStyle w:val="Normal"/>
        <w:widowControl/>
        <w:jc w:val="center"/>
        <w:rPr/>
      </w:pPr>
      <w:r>
        <w:rPr/>
        <w:t>Houston Pipe Line Company</w:t>
      </w:r>
    </w:p>
    <w:p>
      <w:pPr>
        <w:pStyle w:val="Normal"/>
        <w:widowControl/>
        <w:jc w:val="center"/>
        <w:rPr/>
      </w:pPr>
      <w:r>
        <w:rPr/>
        <w:t xml:space="preserve">Interruptible Gas Transportation Agreement </w:t>
      </w:r>
    </w:p>
    <w:p>
      <w:pPr>
        <w:pStyle w:val="Normal"/>
        <w:widowControl/>
        <w:jc w:val="center"/>
        <w:rPr/>
      </w:pPr>
      <w:r>
        <w:rPr/>
      </w:r>
    </w:p>
    <w:p>
      <w:pPr>
        <w:pStyle w:val="Normal"/>
        <w:widowControl/>
        <w:jc w:val="center"/>
        <w:rPr/>
      </w:pPr>
      <w:r>
        <w:rPr/>
      </w:r>
    </w:p>
    <w:p>
      <w:pPr>
        <w:pStyle w:val="Normal"/>
        <w:widowControl/>
        <w:rPr>
          <w:u w:val="single"/>
        </w:rPr>
      </w:pPr>
      <w:r>
        <w:rPr>
          <w:u w:val="single"/>
        </w:rPr>
        <w:t>Receipt Point(s)</w:t>
      </w:r>
    </w:p>
    <w:p>
      <w:pPr>
        <w:pStyle w:val="Normal"/>
        <w:widowControl/>
        <w:rPr/>
      </w:pPr>
      <w:r>
        <w:rPr/>
      </w:r>
    </w:p>
    <w:p>
      <w:pPr>
        <w:pStyle w:val="Normal"/>
        <w:widowControl/>
        <w:ind w:hanging="864" w:start="864" w:end="0"/>
        <w:rPr/>
      </w:pPr>
      <w:r>
        <w:rPr/>
        <w:t>1.</w:t>
        <w:tab/>
        <w:t>The Receipt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Receipt Point(s) will be provided to Shipper upon request.</w:t>
      </w:r>
    </w:p>
    <w:p>
      <w:pPr>
        <w:pStyle w:val="Normal"/>
        <w:widowControl/>
        <w:ind w:hanging="864" w:start="864" w:end="0"/>
        <w:rPr/>
      </w:pPr>
      <w:r>
        <w:rPr/>
      </w:r>
    </w:p>
    <w:p>
      <w:pPr>
        <w:sectPr>
          <w:headerReference w:type="default" r:id="rId11"/>
          <w:headerReference w:type="first" r:id="rId12"/>
          <w:footerReference w:type="default" r:id="rId13"/>
          <w:footerReference w:type="first" r:id="rId14"/>
          <w:type w:val="nextPage"/>
          <w:pgSz w:w="12240" w:h="15840"/>
          <w:pgMar w:left="1440" w:right="1440" w:gutter="0" w:header="720" w:top="1440" w:footer="720" w:bottom="864"/>
          <w:pgNumType w:fmt="decimal"/>
          <w:formProt w:val="false"/>
          <w:textDirection w:val="lrTb"/>
          <w:docGrid w:type="default" w:linePitch="360" w:charSpace="0"/>
        </w:sectPr>
        <w:pStyle w:val="Normal"/>
        <w:widowControl/>
        <w:rPr>
          <w:u w:val="single"/>
        </w:rPr>
      </w:pPr>
      <w:r>
        <w:rPr>
          <w:u w:val="single"/>
        </w:rPr>
      </w:r>
    </w:p>
    <w:p>
      <w:pPr>
        <w:pStyle w:val="Normal"/>
        <w:widowControl/>
        <w:ind w:hanging="864" w:start="864" w:end="0"/>
        <w:jc w:val="center"/>
        <w:rPr>
          <w:b/>
        </w:rPr>
      </w:pPr>
      <w:r>
        <w:rPr>
          <w:b/>
        </w:rPr>
        <w:t>EXHIBIT "B"</w:t>
      </w:r>
    </w:p>
    <w:p>
      <w:pPr>
        <w:pStyle w:val="Normal"/>
        <w:widowControl/>
        <w:jc w:val="center"/>
        <w:rPr/>
      </w:pPr>
      <w:r>
        <w:rPr/>
        <w:t>INTRASTATE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r>
    </w:p>
    <w:p>
      <w:pPr>
        <w:pStyle w:val="Normal"/>
        <w:widowControl/>
        <w:jc w:val="center"/>
        <w:rPr/>
      </w:pPr>
      <w:r>
        <w:rPr/>
      </w:r>
    </w:p>
    <w:p>
      <w:pPr>
        <w:pStyle w:val="Normal"/>
        <w:widowControl/>
        <w:rPr>
          <w:u w:val="single"/>
        </w:rPr>
      </w:pPr>
      <w:r>
        <w:rPr>
          <w:u w:val="single"/>
        </w:rPr>
        <w:t>Delivery Point(s)</w:t>
      </w:r>
    </w:p>
    <w:p>
      <w:pPr>
        <w:pStyle w:val="Normal"/>
        <w:widowControl/>
        <w:rPr/>
      </w:pPr>
      <w:r>
        <w:rPr/>
      </w:r>
    </w:p>
    <w:p>
      <w:pPr>
        <w:pStyle w:val="Normal"/>
        <w:widowControl/>
        <w:ind w:hanging="864" w:start="864" w:end="0"/>
        <w:rPr/>
      </w:pPr>
      <w:r>
        <w:rPr/>
        <w:t>1.</w:t>
        <w:tab/>
        <w:t>The Delivery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Delivery Point(s) will be provided to Shipper upon request.</w:t>
      </w:r>
    </w:p>
    <w:p>
      <w:pPr>
        <w:sectPr>
          <w:headerReference w:type="default" r:id="rId15"/>
          <w:headerReference w:type="first" r:id="rId16"/>
          <w:footerReference w:type="default" r:id="rId17"/>
          <w:footerReference w:type="first" r:id="rId18"/>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rPr/>
      </w:pPr>
      <w:r>
        <w:rPr/>
      </w:r>
    </w:p>
    <w:p>
      <w:pPr>
        <w:pStyle w:val="Normal"/>
        <w:widowControl/>
        <w:ind w:hanging="864" w:start="864" w:end="0"/>
        <w:jc w:val="center"/>
        <w:rPr>
          <w:b/>
        </w:rPr>
      </w:pPr>
      <w:r>
        <w:rPr>
          <w:b/>
        </w:rPr>
        <w:t>EXHIBIT "A"</w:t>
      </w:r>
    </w:p>
    <w:p>
      <w:pPr>
        <w:pStyle w:val="Normal"/>
        <w:widowControl/>
        <w:ind w:hanging="864" w:start="864" w:end="0"/>
        <w:jc w:val="center"/>
        <w:rPr/>
      </w:pPr>
      <w:r>
        <w:rPr/>
        <w:t>NGPA SECTION 311 AGREEMENT</w:t>
      </w:r>
    </w:p>
    <w:p>
      <w:pPr>
        <w:pStyle w:val="Normal"/>
        <w:widowControl/>
        <w:ind w:hanging="864" w:start="864" w:end="0"/>
        <w:jc w:val="center"/>
        <w:rPr/>
      </w:pPr>
      <w:r>
        <w:rPr/>
        <w:t>Receipt Points to</w:t>
      </w:r>
    </w:p>
    <w:p>
      <w:pPr>
        <w:pStyle w:val="Normal"/>
        <w:widowControl/>
        <w:ind w:hanging="864" w:start="864" w:end="0"/>
        <w:jc w:val="center"/>
        <w:rPr/>
      </w:pPr>
      <w:r>
        <w:rPr/>
        <w:t>Houston Pipe Line Company</w:t>
      </w:r>
    </w:p>
    <w:p>
      <w:pPr>
        <w:pStyle w:val="Normal"/>
        <w:widowControl/>
        <w:ind w:hanging="864" w:start="864" w:end="0"/>
        <w:jc w:val="center"/>
        <w:rPr/>
      </w:pPr>
      <w:r>
        <w:rPr/>
        <w:t>Interruptible Gas Transportation Agreement</w:t>
      </w:r>
    </w:p>
    <w:p>
      <w:pPr>
        <w:pStyle w:val="Normal"/>
        <w:widowControl/>
        <w:ind w:hanging="864" w:start="864" w:end="0"/>
        <w:jc w:val="center"/>
        <w:rPr/>
      </w:pPr>
      <w:r>
        <w:rPr/>
      </w:r>
    </w:p>
    <w:p>
      <w:pPr>
        <w:pStyle w:val="Normal"/>
        <w:widowControl/>
        <w:ind w:hanging="864" w:start="864" w:end="0"/>
        <w:jc w:val="start"/>
        <w:rPr/>
      </w:pPr>
      <w:r>
        <w:rPr/>
      </w:r>
    </w:p>
    <w:p>
      <w:pPr>
        <w:pStyle w:val="Normal"/>
        <w:widowControl/>
        <w:ind w:hanging="864" w:start="864" w:end="0"/>
        <w:jc w:val="start"/>
        <w:rPr>
          <w:u w:val="single"/>
        </w:rPr>
      </w:pPr>
      <w:r>
        <w:rPr>
          <w:u w:val="single"/>
        </w:rPr>
        <w:t>Receipt Point(s)</w:t>
      </w:r>
    </w:p>
    <w:p>
      <w:pPr>
        <w:pStyle w:val="Normal"/>
        <w:widowControl/>
        <w:ind w:hanging="864" w:start="864" w:end="0"/>
        <w:jc w:val="start"/>
        <w:rPr/>
      </w:pPr>
      <w:r>
        <w:rPr/>
      </w:r>
    </w:p>
    <w:p>
      <w:pPr>
        <w:pStyle w:val="Normal"/>
        <w:widowControl/>
        <w:ind w:hanging="864" w:start="864" w:end="0"/>
        <w:rPr/>
      </w:pPr>
      <w:r>
        <w:rPr/>
        <w:t>1.</w:t>
        <w:tab/>
        <w:t>The Receipt Point(s) identified by name, location, meter operator, meter number and point of interest number in a file maintained by Houston and entitled "HOUSTON PIPE LINE COMPANY MAJOR INTERRUPTIBLE GTA POINTS", as revised and updated by Houston from time to time.  A copy of the current Receipt Point(s) will be provided to Shipper upon request.</w:t>
      </w:r>
    </w:p>
    <w:p>
      <w:pPr>
        <w:sectPr>
          <w:headerReference w:type="default" r:id="rId19"/>
          <w:headerReference w:type="first" r:id="rId20"/>
          <w:footerReference w:type="default" r:id="rId21"/>
          <w:footerReference w:type="first" r:id="rId22"/>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jc w:val="start"/>
        <w:rPr/>
      </w:pPr>
      <w:r>
        <w:rPr/>
      </w:r>
    </w:p>
    <w:p>
      <w:pPr>
        <w:pStyle w:val="Normal"/>
        <w:widowControl/>
        <w:ind w:hanging="864" w:start="864" w:end="0"/>
        <w:jc w:val="center"/>
        <w:rPr>
          <w:b/>
        </w:rPr>
      </w:pPr>
      <w:r>
        <w:rPr>
          <w:b/>
        </w:rPr>
        <w:t>EXHIBIT "B"</w:t>
      </w:r>
    </w:p>
    <w:p>
      <w:pPr>
        <w:pStyle w:val="Normal"/>
        <w:widowControl/>
        <w:jc w:val="center"/>
        <w:rPr/>
      </w:pPr>
      <w:r>
        <w:rPr/>
        <w:t>NGPA SECTION 311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r>
    </w:p>
    <w:p>
      <w:pPr>
        <w:pStyle w:val="Normal"/>
        <w:widowControl/>
        <w:jc w:val="center"/>
        <w:rPr/>
      </w:pPr>
      <w:r>
        <w:rPr/>
      </w:r>
    </w:p>
    <w:p>
      <w:pPr>
        <w:pStyle w:val="Normal"/>
        <w:widowControl/>
        <w:ind w:hanging="864" w:start="864" w:end="0"/>
        <w:rPr>
          <w:u w:val="single"/>
        </w:rPr>
      </w:pPr>
      <w:r>
        <w:rPr>
          <w:u w:val="single"/>
        </w:rPr>
        <w:t>Delivery Point(s)</w:t>
      </w:r>
    </w:p>
    <w:p>
      <w:pPr>
        <w:pStyle w:val="Normal"/>
        <w:widowControl/>
        <w:ind w:hanging="864" w:start="864" w:end="0"/>
        <w:rPr/>
      </w:pPr>
      <w:r>
        <w:rPr/>
      </w:r>
    </w:p>
    <w:p>
      <w:pPr>
        <w:pStyle w:val="Normal"/>
        <w:widowControl/>
        <w:ind w:hanging="864" w:start="864" w:end="0"/>
        <w:rPr/>
      </w:pPr>
      <w:r>
        <w:rPr/>
        <w:t>1.</w:t>
        <w:tab/>
        <w:t>The Delivery Point(s) identified by name, location, meter operator, meter number and point of interest number in a file maintained by Houston and entitled "HOUSTON PIPELINE LINE COMPANY MAJOR INTERRUPTIBLE GTA POINTS", as revised and updated by Houston from time to time.  A copy of the current Delivery Point(s) will be provided to Shipper upon request.</w:t>
      </w:r>
    </w:p>
    <w:p>
      <w:pPr>
        <w:pStyle w:val="Normal"/>
        <w:widowControl/>
        <w:ind w:hanging="864" w:start="864" w:end="0"/>
        <w:rPr/>
      </w:pPr>
      <w:r>
        <w:rPr/>
      </w:r>
    </w:p>
    <w:p>
      <w:pPr>
        <w:sectPr>
          <w:headerReference w:type="default" r:id="rId23"/>
          <w:headerReference w:type="first" r:id="rId24"/>
          <w:footerReference w:type="default" r:id="rId25"/>
          <w:footerReference w:type="first" r:id="rId26"/>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rPr/>
      </w:pPr>
      <w:r>
        <w:rPr/>
      </w:r>
    </w:p>
    <w:p>
      <w:pPr>
        <w:pStyle w:val="Normal"/>
        <w:widowControl/>
        <w:ind w:hanging="864" w:start="864" w:end="0"/>
        <w:jc w:val="center"/>
        <w:rPr>
          <w:b/>
        </w:rPr>
      </w:pPr>
      <w:r>
        <w:rPr>
          <w:b/>
        </w:rPr>
        <w:t>EXHIBIT "A"</w:t>
      </w:r>
    </w:p>
    <w:p>
      <w:pPr>
        <w:pStyle w:val="Normal"/>
        <w:widowControl/>
        <w:ind w:hanging="864" w:start="864" w:end="0"/>
        <w:jc w:val="center"/>
        <w:rPr/>
      </w:pPr>
      <w:r>
        <w:rPr/>
        <w:t>SECTION 284.227 AGREEMENT</w:t>
      </w:r>
    </w:p>
    <w:p>
      <w:pPr>
        <w:pStyle w:val="Normal"/>
        <w:widowControl/>
        <w:ind w:hanging="864" w:start="864" w:end="0"/>
        <w:jc w:val="center"/>
        <w:rPr/>
      </w:pPr>
      <w:r>
        <w:rPr/>
        <w:t>Receipt Points to</w:t>
      </w:r>
    </w:p>
    <w:p>
      <w:pPr>
        <w:pStyle w:val="Normal"/>
        <w:widowControl/>
        <w:ind w:hanging="864" w:start="864" w:end="0"/>
        <w:jc w:val="center"/>
        <w:rPr/>
      </w:pPr>
      <w:r>
        <w:rPr/>
        <w:t>Houston Pipe Line Company</w:t>
      </w:r>
    </w:p>
    <w:p>
      <w:pPr>
        <w:pStyle w:val="Normal"/>
        <w:widowControl/>
        <w:ind w:hanging="864" w:start="864" w:end="0"/>
        <w:jc w:val="center"/>
        <w:rPr/>
      </w:pPr>
      <w:r>
        <w:rPr/>
        <w:t>Interruptible Gas Transportation Agreement</w:t>
      </w:r>
    </w:p>
    <w:p>
      <w:pPr>
        <w:pStyle w:val="Normal"/>
        <w:widowControl/>
        <w:ind w:hanging="864" w:start="864" w:end="0"/>
        <w:jc w:val="start"/>
        <w:rPr/>
      </w:pPr>
      <w:r>
        <w:rPr/>
      </w:r>
    </w:p>
    <w:p>
      <w:pPr>
        <w:pStyle w:val="Normal"/>
        <w:widowControl/>
        <w:ind w:hanging="864" w:start="864" w:end="0"/>
        <w:jc w:val="start"/>
        <w:rPr/>
      </w:pPr>
      <w:r>
        <w:rPr/>
      </w:r>
    </w:p>
    <w:p>
      <w:pPr>
        <w:pStyle w:val="Normal"/>
        <w:widowControl/>
        <w:ind w:hanging="864" w:start="864" w:end="0"/>
        <w:jc w:val="start"/>
        <w:rPr>
          <w:u w:val="single"/>
        </w:rPr>
      </w:pPr>
      <w:r>
        <w:rPr>
          <w:u w:val="single"/>
        </w:rPr>
        <w:t>Receipt Point(s)</w:t>
      </w:r>
    </w:p>
    <w:p>
      <w:pPr>
        <w:pStyle w:val="Normal"/>
        <w:widowControl/>
        <w:ind w:hanging="864" w:start="864" w:end="0"/>
        <w:jc w:val="start"/>
        <w:rPr/>
      </w:pPr>
      <w:r>
        <w:rPr/>
      </w:r>
    </w:p>
    <w:p>
      <w:pPr>
        <w:pStyle w:val="Normal"/>
        <w:widowControl/>
        <w:ind w:hanging="864" w:start="864" w:end="0"/>
        <w:jc w:val="start"/>
        <w:rPr/>
      </w:pPr>
      <w:r>
        <w:rPr/>
        <w:t>1.</w:t>
        <w:tab/>
        <w:t>TOMCAT/A-S, Houston Meter No. 0553, Calhoun County, Texas.</w:t>
      </w:r>
    </w:p>
    <w:p>
      <w:pPr>
        <w:pStyle w:val="Normal"/>
        <w:widowControl/>
        <w:ind w:hanging="864" w:start="864" w:end="0"/>
        <w:jc w:val="start"/>
        <w:rPr/>
      </w:pPr>
      <w:r>
        <w:rPr/>
      </w:r>
    </w:p>
    <w:p>
      <w:pPr>
        <w:pStyle w:val="Normal"/>
        <w:widowControl/>
        <w:ind w:hanging="864" w:start="864" w:end="0"/>
        <w:rPr/>
      </w:pPr>
      <w:r>
        <w:rPr/>
        <w:t>2.</w:t>
        <w:tab/>
        <w:t>The Receipt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Receipt Point(s) will be provided to Shipper upon request.</w:t>
      </w:r>
    </w:p>
    <w:p>
      <w:pPr>
        <w:sectPr>
          <w:headerReference w:type="default" r:id="rId27"/>
          <w:headerReference w:type="first" r:id="rId28"/>
          <w:footerReference w:type="default" r:id="rId29"/>
          <w:footerReference w:type="first" r:id="rId30"/>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jc w:val="start"/>
        <w:rPr/>
      </w:pPr>
      <w:r>
        <w:rPr/>
      </w:r>
    </w:p>
    <w:p>
      <w:pPr>
        <w:pStyle w:val="Normal"/>
        <w:widowControl/>
        <w:ind w:hanging="864" w:start="864" w:end="0"/>
        <w:jc w:val="center"/>
        <w:rPr>
          <w:b/>
        </w:rPr>
      </w:pPr>
      <w:r>
        <w:rPr>
          <w:b/>
        </w:rPr>
        <w:t>EXHIBIT "B"</w:t>
      </w:r>
    </w:p>
    <w:p>
      <w:pPr>
        <w:pStyle w:val="Normal"/>
        <w:widowControl/>
        <w:jc w:val="center"/>
        <w:rPr/>
      </w:pPr>
      <w:r>
        <w:rPr/>
        <w:t>SECTION 284.227 AGREEMENT</w:t>
      </w:r>
    </w:p>
    <w:p>
      <w:pPr>
        <w:pStyle w:val="Normal"/>
        <w:widowControl/>
        <w:jc w:val="center"/>
        <w:rPr/>
      </w:pPr>
      <w:r>
        <w:rPr/>
        <w:t>Delivery Points to</w:t>
      </w:r>
    </w:p>
    <w:p>
      <w:pPr>
        <w:pStyle w:val="Normal"/>
        <w:widowControl/>
        <w:jc w:val="center"/>
        <w:rPr/>
      </w:pPr>
      <w:r>
        <w:rPr/>
        <w:t>Houston Pipe Line Company</w:t>
      </w:r>
    </w:p>
    <w:p>
      <w:pPr>
        <w:pStyle w:val="Normal"/>
        <w:widowControl/>
        <w:jc w:val="center"/>
        <w:rPr/>
      </w:pPr>
      <w:r>
        <w:rPr/>
        <w:t>Interruptible Gas Transportation Agreement</w:t>
      </w:r>
    </w:p>
    <w:p>
      <w:pPr>
        <w:pStyle w:val="Normal"/>
        <w:widowControl/>
        <w:jc w:val="center"/>
        <w:rPr/>
      </w:pPr>
      <w:r>
        <w:rPr/>
      </w:r>
    </w:p>
    <w:p>
      <w:pPr>
        <w:pStyle w:val="Normal"/>
        <w:widowControl/>
        <w:jc w:val="center"/>
        <w:rPr/>
      </w:pPr>
      <w:r>
        <w:rPr/>
      </w:r>
    </w:p>
    <w:p>
      <w:pPr>
        <w:pStyle w:val="Normal"/>
        <w:widowControl/>
        <w:ind w:hanging="864" w:start="864" w:end="0"/>
        <w:rPr>
          <w:u w:val="single"/>
        </w:rPr>
      </w:pPr>
      <w:r>
        <w:rPr>
          <w:u w:val="single"/>
        </w:rPr>
        <w:t>Delivery Point(s)</w:t>
      </w:r>
    </w:p>
    <w:p>
      <w:pPr>
        <w:pStyle w:val="Normal"/>
        <w:widowControl/>
        <w:ind w:hanging="864" w:start="864" w:end="0"/>
        <w:rPr/>
      </w:pPr>
      <w:r>
        <w:rPr/>
      </w:r>
    </w:p>
    <w:p>
      <w:pPr>
        <w:pStyle w:val="Normal"/>
        <w:widowControl/>
        <w:ind w:hanging="864" w:start="864" w:end="0"/>
        <w:rPr/>
      </w:pPr>
      <w:r>
        <w:rPr/>
        <w:t>1.</w:t>
        <w:tab/>
        <w:t>The Delivery Point(s) identified by name, location, meter operator, meter number and point of interest number in a file maintained by Houston and entitled "HOUSTON PIPE LINE COMPANY MAJOR INTERRUPTIBLE INTRASTATE GTA POINTS", as revised and updated by Houston from time to time.  A copy of the current Delivery Point(s) will be provided to Shipper upon request.</w:t>
      </w:r>
    </w:p>
    <w:p>
      <w:pPr>
        <w:pStyle w:val="Normal"/>
        <w:widowControl/>
        <w:ind w:hanging="864" w:start="864" w:end="0"/>
        <w:jc w:val="start"/>
        <w:rPr/>
      </w:pPr>
      <w:r>
        <w:rPr/>
      </w:r>
    </w:p>
    <w:p>
      <w:pPr>
        <w:sectPr>
          <w:headerReference w:type="default" r:id="rId31"/>
          <w:headerReference w:type="first" r:id="rId32"/>
          <w:footerReference w:type="default" r:id="rId33"/>
          <w:footerReference w:type="first" r:id="rId34"/>
          <w:type w:val="nextPage"/>
          <w:pgSz w:w="12240" w:h="15840"/>
          <w:pgMar w:left="1440" w:right="1440" w:gutter="0" w:header="720" w:top="1440" w:footer="720" w:bottom="864"/>
          <w:pgNumType w:fmt="decimal"/>
          <w:formProt w:val="false"/>
          <w:textDirection w:val="lrTb"/>
          <w:docGrid w:type="default" w:linePitch="360" w:charSpace="0"/>
        </w:sectPr>
        <w:pStyle w:val="Normal"/>
        <w:widowControl/>
        <w:ind w:hanging="864" w:start="864" w:end="0"/>
        <w:rPr/>
      </w:pPr>
      <w:r>
        <w:rPr/>
      </w:r>
    </w:p>
    <w:p>
      <w:pPr>
        <w:pStyle w:val="Normal"/>
        <w:widowControl/>
        <w:ind w:hanging="864" w:start="864" w:end="0"/>
        <w:jc w:val="center"/>
        <w:rPr>
          <w:b/>
        </w:rPr>
      </w:pPr>
      <w:r>
        <w:rPr>
          <w:b/>
        </w:rPr>
        <w:t>EXHIBIT "C"</w:t>
      </w:r>
    </w:p>
    <w:p>
      <w:pPr>
        <w:pStyle w:val="Normal"/>
        <w:widowControl/>
        <w:jc w:val="center"/>
        <w:rPr/>
      </w:pPr>
      <w:r>
        <w:rPr/>
        <w:t>Discounted</w:t>
      </w:r>
    </w:p>
    <w:p>
      <w:pPr>
        <w:pStyle w:val="Normal"/>
        <w:widowControl/>
        <w:jc w:val="center"/>
        <w:rPr/>
      </w:pPr>
      <w:r>
        <w:rPr/>
        <w:t>Transportation Fees</w:t>
      </w:r>
    </w:p>
    <w:p>
      <w:pPr>
        <w:pStyle w:val="Normal"/>
        <w:widowControl/>
        <w:jc w:val="center"/>
        <w:rPr/>
      </w:pPr>
      <w:r>
        <w:rPr/>
        <w:t>to</w:t>
      </w:r>
    </w:p>
    <w:p>
      <w:pPr>
        <w:pStyle w:val="Normal"/>
        <w:widowControl/>
        <w:jc w:val="center"/>
        <w:rPr/>
      </w:pPr>
      <w:r>
        <w:rPr/>
        <w:t>Interruptible Gas Transportation Agreement</w:t>
      </w:r>
    </w:p>
    <w:p>
      <w:pPr>
        <w:pStyle w:val="Normal"/>
        <w:widowControl/>
        <w:jc w:val="center"/>
        <w:rPr/>
      </w:pPr>
      <w:r>
        <w:rPr/>
        <w:t>(Contract Number 12</w:t>
        <w:noBreakHyphen/>
        <w:t>_________-2__) dated __________, 19__</w:t>
      </w:r>
    </w:p>
    <w:p>
      <w:pPr>
        <w:pStyle w:val="Normal"/>
        <w:widowControl/>
        <w:jc w:val="center"/>
        <w:rPr/>
      </w:pPr>
      <w:r>
        <w:rPr/>
        <w:t>between Houston Pipe Line Company, as Houston, and</w:t>
      </w:r>
    </w:p>
    <w:p>
      <w:pPr>
        <w:pStyle w:val="Normal"/>
        <w:widowControl/>
        <w:jc w:val="center"/>
        <w:rPr/>
      </w:pPr>
      <w:r>
        <w:rPr/>
        <w:t>______________________, as Shipper</w:t>
      </w:r>
    </w:p>
    <w:p>
      <w:pPr>
        <w:pStyle w:val="Normal"/>
        <w:widowControl/>
        <w:jc w:val="center"/>
        <w:rPr/>
      </w:pPr>
      <w:r>
        <w:rPr/>
      </w:r>
    </w:p>
    <w:p>
      <w:pPr>
        <w:pStyle w:val="Normal"/>
        <w:widowContro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Receipt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Receipt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snapToGrid w:val="false"/>
              <w:jc w:val="center"/>
              <w:rPr/>
            </w:pPr>
            <w:r>
              <w:rPr/>
            </w:r>
          </w:p>
        </w:tc>
        <w:tc>
          <w:tcPr>
            <w:tcW w:w="3240" w:type="dxa"/>
            <w:tcBorders/>
          </w:tcPr>
          <w:p>
            <w:pPr>
              <w:pStyle w:val="Normal"/>
              <w:widowControl/>
              <w:snapToGrid w:val="false"/>
              <w:jc w:val="center"/>
              <w:rPr/>
            </w:pPr>
            <w:r>
              <w:rPr/>
            </w:r>
          </w:p>
        </w:tc>
      </w:tr>
      <w:tr>
        <w:trPr/>
        <w:tc>
          <w:tcPr>
            <w:tcW w:w="3168" w:type="dxa"/>
            <w:tcBorders/>
          </w:tcPr>
          <w:p>
            <w:pPr>
              <w:pStyle w:val="Normal"/>
              <w:widowControl/>
              <w:snapToGrid w:val="false"/>
              <w:jc w:val="center"/>
              <w:rPr/>
            </w:pPr>
            <w:r>
              <w:rPr/>
            </w:r>
          </w:p>
        </w:tc>
        <w:tc>
          <w:tcPr>
            <w:tcW w:w="3060" w:type="dxa"/>
            <w:tcBorders/>
          </w:tcPr>
          <w:p>
            <w:pPr>
              <w:pStyle w:val="Normal"/>
              <w:widowControl/>
              <w:jc w:val="center"/>
              <w:rPr/>
            </w:pPr>
            <w:r>
              <w:rPr/>
              <w:t>Delivery Fee</w:t>
            </w:r>
          </w:p>
        </w:tc>
        <w:tc>
          <w:tcPr>
            <w:tcW w:w="3240" w:type="dxa"/>
            <w:tcBorders/>
          </w:tcPr>
          <w:p>
            <w:pPr>
              <w:pStyle w:val="Normal"/>
              <w:widowControl/>
              <w:jc w:val="center"/>
              <w:rPr>
                <w:u w:val="single"/>
              </w:rPr>
            </w:pPr>
            <w:r>
              <w:rPr>
                <w:u w:val="single"/>
              </w:rPr>
              <w:t>Effective Date</w:t>
            </w:r>
          </w:p>
        </w:tc>
      </w:tr>
      <w:tr>
        <w:trPr/>
        <w:tc>
          <w:tcPr>
            <w:tcW w:w="3168" w:type="dxa"/>
            <w:tcBorders/>
          </w:tcPr>
          <w:p>
            <w:pPr>
              <w:pStyle w:val="Normal"/>
              <w:widowControl/>
              <w:jc w:val="center"/>
              <w:rPr>
                <w:u w:val="single"/>
              </w:rPr>
            </w:pPr>
            <w:r>
              <w:rPr>
                <w:u w:val="single"/>
              </w:rPr>
              <w:t>Delivery Point Meter #</w:t>
            </w:r>
          </w:p>
        </w:tc>
        <w:tc>
          <w:tcPr>
            <w:tcW w:w="3060" w:type="dxa"/>
            <w:tcBorders/>
          </w:tcPr>
          <w:p>
            <w:pPr>
              <w:pStyle w:val="Normal"/>
              <w:widowControl/>
              <w:jc w:val="center"/>
              <w:rPr>
                <w:u w:val="single"/>
              </w:rPr>
            </w:pPr>
            <w:r>
              <w:rPr>
                <w:u w:val="single"/>
              </w:rPr>
              <w:t>per MMBtu</w:t>
            </w:r>
          </w:p>
        </w:tc>
        <w:tc>
          <w:tcPr>
            <w:tcW w:w="3240" w:type="dxa"/>
            <w:tcBorders/>
          </w:tcPr>
          <w:p>
            <w:pPr>
              <w:pStyle w:val="Normal"/>
              <w:widowControl/>
              <w:jc w:val="center"/>
              <w:rPr/>
            </w:pPr>
            <w:r>
              <w:rPr>
                <w:u w:val="single"/>
              </w:rPr>
              <w:t>Beginning</w:t>
            </w:r>
            <w:r>
              <w:rPr/>
              <w:tab/>
            </w:r>
            <w:r>
              <w:rPr>
                <w:u w:val="single"/>
              </w:rPr>
              <w:t>Ending</w:t>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r>
        <w:trPr/>
        <w:tc>
          <w:tcPr>
            <w:tcW w:w="3168" w:type="dxa"/>
            <w:tcBorders/>
          </w:tcPr>
          <w:p>
            <w:pPr>
              <w:pStyle w:val="Normal"/>
              <w:widowControl/>
              <w:snapToGrid w:val="false"/>
              <w:jc w:val="center"/>
              <w:rPr>
                <w:u w:val="single"/>
              </w:rPr>
            </w:pPr>
            <w:r>
              <w:rPr>
                <w:u w:val="single"/>
              </w:rPr>
            </w:r>
          </w:p>
        </w:tc>
        <w:tc>
          <w:tcPr>
            <w:tcW w:w="3060" w:type="dxa"/>
            <w:tcBorders/>
          </w:tcPr>
          <w:p>
            <w:pPr>
              <w:pStyle w:val="Normal"/>
              <w:widowControl/>
              <w:snapToGrid w:val="false"/>
              <w:jc w:val="center"/>
              <w:rPr>
                <w:u w:val="single"/>
              </w:rPr>
            </w:pPr>
            <w:r>
              <w:rPr>
                <w:u w:val="single"/>
              </w:rPr>
            </w:r>
          </w:p>
        </w:tc>
        <w:tc>
          <w:tcPr>
            <w:tcW w:w="3240" w:type="dxa"/>
            <w:tcBorders/>
          </w:tcPr>
          <w:p>
            <w:pPr>
              <w:pStyle w:val="Normal"/>
              <w:widowControl/>
              <w:snapToGrid w:val="false"/>
              <w:jc w:val="center"/>
              <w:rPr>
                <w:u w:val="single"/>
              </w:rPr>
            </w:pPr>
            <w:r>
              <w:rPr>
                <w:u w:val="single"/>
              </w:rPr>
            </w:r>
          </w:p>
        </w:tc>
      </w:tr>
    </w:tbl>
    <w:p>
      <w:pPr>
        <w:pStyle w:val="Normal"/>
        <w:widowControl/>
        <w:tabs>
          <w:tab w:val="clear" w:pos="720"/>
          <w:tab w:val="left" w:pos="4176" w:leader="none"/>
          <w:tab w:val="left" w:pos="6768" w:leader="none"/>
        </w:tabs>
        <w:rPr/>
      </w:pPr>
      <w:r>
        <w:rPr/>
      </w:r>
    </w:p>
    <w:sectPr>
      <w:headerReference w:type="default" r:id="rId35"/>
      <w:headerReference w:type="first" r:id="rId36"/>
      <w:footerReference w:type="default" r:id="rId37"/>
      <w:footerReference w:type="first" r:id="rId38"/>
      <w:type w:val="nextPage"/>
      <w:pgSz w:w="12240" w:h="15840"/>
      <w:pgMar w:left="1440" w:right="1440" w:gutter="0" w:header="720" w:top="1440"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r>
      <w:rPr/>
      <w:tab/>
    </w:r>
    <w:r>
      <w:rPr/>
      <w:fldChar w:fldCharType="begin"/>
    </w:r>
    <w:r>
      <w:rPr/>
      <w:instrText xml:space="preserve"> PAGE </w:instrText>
    </w:r>
    <w:r>
      <w:rPr/>
      <w:fldChar w:fldCharType="separate"/>
    </w:r>
    <w:r>
      <w:rPr/>
      <w:t>6</w:t>
    </w:r>
    <w:r>
      <w:rPr/>
      <w:fldChar w:fldCharType="end"/>
    </w:r>
    <w:r>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left" w:pos="8640" w:leader="none"/>
      </w:tabs>
      <w:jc w:val="start"/>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r>
      <w:rPr>
        <w:sz w:val="18"/>
      </w:rPr>
      <w:tab/>
    </w:r>
    <w:r>
      <w:rPr/>
      <w:t>A -</w:t>
    </w:r>
    <w:r>
      <w:rPr>
        <w:sz w:val="20"/>
      </w:rPr>
      <w:t xml:space="preserve"> </w:t>
    </w:r>
    <w:r>
      <w:rPr>
        <w:rStyle w:val="PageNumber"/>
        <w:sz w:val="26"/>
      </w:rPr>
      <w:fldChar w:fldCharType="begin"/>
    </w:r>
    <w:r>
      <w:rPr>
        <w:rStyle w:val="PageNumber"/>
        <w:sz w:val="26"/>
      </w:rPr>
      <w:instrText xml:space="preserve"> PAGE </w:instrText>
    </w:r>
    <w:r>
      <w:rPr>
        <w:rStyle w:val="PageNumber"/>
        <w:sz w:val="26"/>
      </w:rPr>
      <w:fldChar w:fldCharType="separate"/>
    </w:r>
    <w:r>
      <w:rPr>
        <w:rStyle w:val="PageNumber"/>
        <w:sz w:val="26"/>
      </w:rPr>
      <w:t>11</w:t>
    </w:r>
    <w:r>
      <w:rPr>
        <w:rStyle w:val="PageNumber"/>
        <w:sz w:val="26"/>
      </w:rPr>
      <w:fldChar w:fldCharType="end"/>
    </w:r>
    <w:r>
      <w:rPr>
        <w:rStyle w:val="PageNumber"/>
        <w:sz w:val="26"/>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start"/>
      <w:rPr>
        <w:sz w:val="16"/>
      </w:rPr>
    </w:pPr>
    <w:r>
      <w:rPr>
        <w:sz w:val="16"/>
      </w:rPr>
      <w:fldChar w:fldCharType="begin"/>
    </w:r>
    <w:r>
      <w:rPr>
        <w:sz w:val="16"/>
      </w:rPr>
      <w:instrText xml:space="preserve"> FILENAME \p </w:instrText>
    </w:r>
    <w:r>
      <w:rPr>
        <w:sz w:val="16"/>
      </w:rPr>
      <w:fldChar w:fldCharType="separate"/>
    </w:r>
    <w:r>
      <w:rPr>
        <w:sz w:val="16"/>
      </w:rPr>
      <w:t>/mnt/main-storage/datasets/enron-docs/doc/hpltrani.doc</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1080"/>
        </w:tabs>
        <w:ind w:start="1800" w:hanging="1080"/>
      </w:pPr>
    </w:lvl>
  </w:abstractNum>
  <w:abstractNum w:abstractNumId="3">
    <w:lvl w:ilvl="0">
      <w:start w:val="2"/>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lineRule="atLeast" w:line="240"/>
      <w:jc w:val="both"/>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hanging="0" w:start="1440" w:end="1440"/>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footer" Target="footer9.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footer" Target="footer10.xml"/><Relationship Id="rId22" Type="http://schemas.openxmlformats.org/officeDocument/2006/relationships/footer" Target="footer11.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2.xml"/><Relationship Id="rId26" Type="http://schemas.openxmlformats.org/officeDocument/2006/relationships/footer" Target="footer13.xml"/><Relationship Id="rId27" Type="http://schemas.openxmlformats.org/officeDocument/2006/relationships/header" Target="header13.xml"/><Relationship Id="rId28" Type="http://schemas.openxmlformats.org/officeDocument/2006/relationships/header" Target="header14.xml"/><Relationship Id="rId29" Type="http://schemas.openxmlformats.org/officeDocument/2006/relationships/footer" Target="footer14.xml"/><Relationship Id="rId30" Type="http://schemas.openxmlformats.org/officeDocument/2006/relationships/footer" Target="footer15.xml"/><Relationship Id="rId31" Type="http://schemas.openxmlformats.org/officeDocument/2006/relationships/header" Target="header15.xml"/><Relationship Id="rId32" Type="http://schemas.openxmlformats.org/officeDocument/2006/relationships/header" Target="header16.xml"/><Relationship Id="rId33" Type="http://schemas.openxmlformats.org/officeDocument/2006/relationships/footer" Target="footer16.xml"/><Relationship Id="rId34" Type="http://schemas.openxmlformats.org/officeDocument/2006/relationships/footer" Target="footer17.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8.xml"/><Relationship Id="rId38" Type="http://schemas.openxmlformats.org/officeDocument/2006/relationships/footer" Target="footer19.xml"/><Relationship Id="rId39" Type="http://schemas.openxmlformats.org/officeDocument/2006/relationships/numbering" Target="numbering.xml"/><Relationship Id="rId40" Type="http://schemas.openxmlformats.org/officeDocument/2006/relationships/fontTable" Target="fontTable.xml"/><Relationship Id="rId41" Type="http://schemas.openxmlformats.org/officeDocument/2006/relationships/settings" Target="settings.xml"/><Relationship Id="rId4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1998-08-11T11:16:00Z</dcterms:created>
  <dc:creator>ECT</dc:creator>
  <dc:description>THIS IS A FORM</dc:description>
  <dc:language>en-CA</dc:language>
  <cp:lastModifiedBy>Pat Radford</cp:lastModifiedBy>
  <cp:lastPrinted>1998-08-10T08:41:00Z</cp:lastPrinted>
  <dcterms:modified xsi:type="dcterms:W3CDTF">2000-04-18T13:30:00Z</dcterms:modified>
  <cp:revision>6</cp:revision>
  <dc:subject>HPL and _____________</dc:subject>
  <dc:title>Interruptible GTA</dc:title>
</cp:coreProperties>
</file>