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630"/>
        <w:rPr/>
      </w:pPr>
      <w:r>
        <w:rPr/>
        <w:t>COMPARATIVE INCOME BEFORE INTEREST, TAXES AND MINORITY INTEREST FOR SELECTED ENTITIES</w:t>
      </w:r>
    </w:p>
    <w:p>
      <w:pPr>
        <w:pStyle w:val="Normal"/>
        <w:rPr/>
      </w:pPr>
      <w:r>
        <w:rPr/>
        <w:t xml:space="preserve">($ millions)                            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49"/>
        <w:gridCol w:w="239"/>
        <w:gridCol w:w="282"/>
        <w:gridCol w:w="850"/>
        <w:gridCol w:w="284"/>
        <w:gridCol w:w="284"/>
        <w:gridCol w:w="850"/>
        <w:gridCol w:w="284"/>
        <w:gridCol w:w="284"/>
        <w:gridCol w:w="850"/>
      </w:tblGrid>
      <w:tr>
        <w:trPr/>
        <w:tc>
          <w:tcPr>
            <w:tcW w:w="4649" w:type="dxa"/>
            <w:tcBorders/>
          </w:tcPr>
          <w:p>
            <w:pPr>
              <w:pStyle w:val="Normal"/>
              <w:snapToGrid w:val="false"/>
              <w:ind w:hanging="180" w:start="180" w:end="0"/>
              <w:rPr/>
            </w:pPr>
            <w:r>
              <w:rPr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2000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>1999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1998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snapToGrid w:val="false"/>
              <w:ind w:hanging="180" w:start="180" w:end="0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Enron - Wholesale Services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>2,260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1,317 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968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El Paso Natural Gas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822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719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811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Enron – Transportation Services (100%)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758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692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568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Coastal</w:t>
              <w:tab/>
              <w:t>Natural Gas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660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574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594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Kinder Morgan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574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522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362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Duke – Gas Transmission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534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627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702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Enron – Transportation Services (equity method)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391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380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351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Northern Natural Gas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262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235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222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Florida Gas Transmission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202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168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176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Northern Border Partners (100%)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196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184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129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ind w:hanging="180" w:start="180" w:end="0"/>
              <w:rPr>
                <w:bCs/>
              </w:rPr>
            </w:pPr>
            <w:r>
              <w:rPr>
                <w:bCs/>
              </w:rPr>
              <w:t>Citrus (100%)</w:t>
              <w:tab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188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164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163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Enron - Retail Energy Services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165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 </w:t>
            </w:r>
            <w:r>
              <w:rPr/>
              <w:t>(68)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(119)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Transwestern</w:t>
              <w:tab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125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 </w:t>
            </w:r>
            <w:r>
              <w:rPr/>
              <w:t>103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102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Enron – Broadband Services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</w:t>
            </w:r>
            <w:r>
              <w:rPr/>
              <w:t>(60)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</w:t>
            </w:r>
            <w:r>
              <w:rPr/>
              <w:t>--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--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snapToGrid w:val="false"/>
              <w:ind w:hanging="180" w:start="180" w:end="0"/>
              <w:rPr/>
            </w:pPr>
            <w:r>
              <w:rPr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7,077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5,617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5,029</w:t>
            </w:r>
          </w:p>
        </w:tc>
      </w:tr>
      <w:tr>
        <w:trPr/>
        <w:tc>
          <w:tcPr>
            <w:tcW w:w="4649" w:type="dxa"/>
            <w:tcBorders/>
          </w:tcPr>
          <w:p>
            <w:pPr>
              <w:pStyle w:val="Normal"/>
              <w:snapToGrid w:val="false"/>
              <w:ind w:hanging="180" w:start="180" w:end="0"/>
              <w:rPr/>
            </w:pPr>
            <w:r>
              <w:rPr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2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COMPARATIVE NET INCOME FOR SELECTED ENTITIES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29"/>
        <w:gridCol w:w="239"/>
        <w:gridCol w:w="281"/>
        <w:gridCol w:w="857"/>
        <w:gridCol w:w="284"/>
        <w:gridCol w:w="284"/>
        <w:gridCol w:w="857"/>
        <w:gridCol w:w="284"/>
        <w:gridCol w:w="284"/>
        <w:gridCol w:w="857"/>
      </w:tblGrid>
      <w:tr>
        <w:trPr/>
        <w:tc>
          <w:tcPr>
            <w:tcW w:w="4629" w:type="dxa"/>
            <w:tcBorders/>
          </w:tcPr>
          <w:p>
            <w:pPr>
              <w:pStyle w:val="Normal"/>
              <w:snapToGrid w:val="false"/>
              <w:ind w:hanging="180" w:start="180" w:end="0"/>
              <w:rPr/>
            </w:pPr>
            <w:r>
              <w:rPr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>2000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>1999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>
                <w:u w:val="single"/>
              </w:rPr>
              <w:t>1998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snapToGrid w:val="false"/>
              <w:ind w:hanging="180" w:start="180" w:end="0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General Electric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>12,735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>10,717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9,296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Duke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1,776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1,507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1,252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Enron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979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893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703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FPL Group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704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697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664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Coastal</w:t>
              <w:tab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654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499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438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 xml:space="preserve">El Paso </w:t>
              <w:tab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652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</w:t>
            </w:r>
            <w:r>
              <w:rPr/>
              <w:t>(255)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</w:t>
            </w:r>
            <w:r>
              <w:rPr/>
              <w:t>(306)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Williams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524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221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128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Dynegy</w:t>
              <w:tab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501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151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108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ind w:hanging="180" w:start="180" w:end="0"/>
              <w:rPr>
                <w:bCs/>
              </w:rPr>
            </w:pPr>
            <w:r>
              <w:rPr/>
              <w:t>TECO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251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186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207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Kinder Morgan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152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</w:t>
            </w:r>
            <w:r>
              <w:rPr/>
              <w:t>(240)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  </w:t>
            </w:r>
            <w:r>
              <w:rPr/>
              <w:t>62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Northern Natural Gas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136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117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114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Florida Gas Transmission</w:t>
              <w:tab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104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  </w:t>
            </w:r>
            <w:r>
              <w:rPr/>
              <w:t>67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  </w:t>
            </w:r>
            <w:r>
              <w:rPr/>
              <w:t>69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Citrus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100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  </w:t>
            </w:r>
            <w:r>
              <w:rPr/>
              <w:t>50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  </w:t>
            </w:r>
            <w:r>
              <w:rPr/>
              <w:t>46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Northern Border Partners (pretax)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  </w:t>
            </w:r>
            <w:r>
              <w:rPr/>
              <w:t>77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  </w:t>
            </w:r>
            <w:r>
              <w:rPr/>
              <w:t>81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/>
          </w:tcPr>
          <w:p>
            <w:pPr>
              <w:pStyle w:val="Normal"/>
              <w:rPr/>
            </w:pPr>
            <w:r>
              <w:rPr/>
              <w:t xml:space="preserve">       </w:t>
            </w:r>
            <w:r>
              <w:rPr/>
              <w:t>68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ind w:hanging="180" w:start="180" w:end="0"/>
              <w:rPr/>
            </w:pPr>
            <w:r>
              <w:rPr/>
              <w:t>Transwestern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 </w:t>
            </w:r>
          </w:p>
        </w:tc>
        <w:tc>
          <w:tcPr>
            <w:tcW w:w="857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</w:t>
            </w:r>
            <w:r>
              <w:rPr/>
              <w:t>70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</w:t>
            </w:r>
            <w:r>
              <w:rPr/>
              <w:t>55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</w:t>
            </w:r>
            <w:r>
              <w:rPr/>
              <w:t>59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snapToGrid w:val="false"/>
              <w:ind w:hanging="180" w:start="180" w:end="0"/>
              <w:rPr/>
            </w:pPr>
            <w:r>
              <w:rPr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19,415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14,746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12,908</w:t>
            </w:r>
          </w:p>
        </w:tc>
      </w:tr>
      <w:tr>
        <w:trPr/>
        <w:tc>
          <w:tcPr>
            <w:tcW w:w="4629" w:type="dxa"/>
            <w:tcBorders/>
          </w:tcPr>
          <w:p>
            <w:pPr>
              <w:pStyle w:val="Normal"/>
              <w:snapToGrid w:val="false"/>
              <w:ind w:hanging="180" w:start="180" w:end="0"/>
              <w:rPr/>
            </w:pPr>
            <w:r>
              <w:rPr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1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84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2001-05-09T13:33:00Z</dcterms:created>
  <dc:creator>jlev</dc:creator>
  <dc:description/>
  <dc:language>en-CA</dc:language>
  <cp:lastModifiedBy>jlev</cp:lastModifiedBy>
  <cp:lastPrinted>2001-05-10T13:40:00Z</cp:lastPrinted>
  <dcterms:modified xsi:type="dcterms:W3CDTF">2001-05-10T16:10:00Z</dcterms:modified>
  <cp:revision>13</cp:revision>
  <dc:subject/>
  <dc:title>ENRON AND SONAT ENTITIES’ 1998 INCOME BEFORE INTEREST, TAXES AND MINORITY INTEREST</dc:title>
</cp:coreProperties>
</file>