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bleHeader"/>
        <w:spacing w:before="90" w:after="0"/>
        <w:rPr>
          <w:sz w:val="4"/>
        </w:rPr>
      </w:pPr>
      <w:r>
        <w:rPr>
          <w:sz w:val="4"/>
        </w:rPr>
      </w:r>
    </w:p>
    <w:tbl>
      <w:tblPr>
        <w:tblW w:w="9378" w:type="dxa"/>
        <w:jc w:val="start"/>
        <w:tblInd w:w="0" w:type="dxa"/>
        <w:tblLayout w:type="fixed"/>
        <w:tblCellMar>
          <w:top w:w="0" w:type="dxa"/>
          <w:start w:w="0" w:type="dxa"/>
          <w:bottom w:w="0" w:type="dxa"/>
          <w:end w:w="0" w:type="dxa"/>
        </w:tblCellMar>
      </w:tblPr>
      <w:tblGrid>
        <w:gridCol w:w="810"/>
        <w:gridCol w:w="8568"/>
      </w:tblGrid>
      <w:tr>
        <w:trPr>
          <w:trHeight w:val="472" w:hRule="atLeast"/>
        </w:trPr>
        <w:tc>
          <w:tcPr>
            <w:tcW w:w="810" w:type="dxa"/>
            <w:tcBorders/>
          </w:tcPr>
          <w:p>
            <w:pPr>
              <w:pStyle w:val="MemoLabel"/>
              <w:spacing w:before="60" w:after="60"/>
              <w:rPr/>
            </w:pPr>
            <w:r>
              <w:rPr/>
              <w:t>Date:</w:t>
            </w:r>
          </w:p>
        </w:tc>
        <w:tc>
          <w:tcPr>
            <w:tcW w:w="8568" w:type="dxa"/>
            <w:tcBorders/>
          </w:tcPr>
          <w:p>
            <w:pPr>
              <w:pStyle w:val="MemoDate"/>
              <w:spacing w:before="60" w:after="60"/>
              <w:rPr>
                <w:sz w:val="22"/>
              </w:rPr>
            </w:pPr>
            <w:bookmarkStart w:id="0" w:name="mem_DateField"/>
            <w:bookmarkEnd w:id="0"/>
            <w:r>
              <w:rPr>
                <w:sz w:val="22"/>
              </w:rPr>
              <w:t>February 8, 2001</w:t>
            </w:r>
          </w:p>
        </w:tc>
      </w:tr>
      <w:tr>
        <w:trPr>
          <w:trHeight w:val="473" w:hRule="atLeast"/>
        </w:trPr>
        <w:tc>
          <w:tcPr>
            <w:tcW w:w="810" w:type="dxa"/>
            <w:tcBorders/>
          </w:tcPr>
          <w:p>
            <w:pPr>
              <w:pStyle w:val="MemoLabel"/>
              <w:spacing w:before="60" w:after="60"/>
              <w:rPr/>
            </w:pPr>
            <w:r>
              <w:rPr/>
              <w:t>To:</w:t>
            </w:r>
          </w:p>
        </w:tc>
        <w:tc>
          <w:tcPr>
            <w:tcW w:w="8568" w:type="dxa"/>
            <w:tcBorders/>
          </w:tcPr>
          <w:p>
            <w:pPr>
              <w:pStyle w:val="MemoTo"/>
              <w:spacing w:before="60" w:after="60"/>
              <w:rPr>
                <w:sz w:val="22"/>
              </w:rPr>
            </w:pPr>
            <w:bookmarkStart w:id="1" w:name="mem_ToField"/>
            <w:bookmarkEnd w:id="1"/>
            <w:r>
              <w:rPr>
                <w:sz w:val="22"/>
              </w:rPr>
              <w:t>Bernard Marcus, Chairman and CEO</w:t>
              <w:br/>
              <w:t>The Home Depot, Inc.</w:t>
            </w:r>
          </w:p>
        </w:tc>
      </w:tr>
      <w:tr>
        <w:trPr>
          <w:trHeight w:val="472" w:hRule="atLeast"/>
        </w:trPr>
        <w:tc>
          <w:tcPr>
            <w:tcW w:w="810" w:type="dxa"/>
            <w:tcBorders/>
          </w:tcPr>
          <w:p>
            <w:pPr>
              <w:pStyle w:val="MemoLabel"/>
              <w:spacing w:before="60" w:after="60"/>
              <w:rPr/>
            </w:pPr>
            <w:r>
              <w:rPr/>
              <w:t>From:</w:t>
            </w:r>
          </w:p>
        </w:tc>
        <w:tc>
          <w:tcPr>
            <w:tcW w:w="8568" w:type="dxa"/>
            <w:tcBorders/>
          </w:tcPr>
          <w:p>
            <w:pPr>
              <w:pStyle w:val="MemoFrom"/>
              <w:spacing w:before="60" w:after="60"/>
              <w:rPr>
                <w:sz w:val="22"/>
              </w:rPr>
            </w:pPr>
            <w:bookmarkStart w:id="2" w:name="mem_FromField"/>
            <w:bookmarkEnd w:id="2"/>
            <w:r>
              <w:rPr>
                <w:sz w:val="22"/>
              </w:rPr>
              <w:t>Jeff Dasovich</w:t>
              <w:br/>
              <w:t>Mark Guinney</w:t>
              <w:br/>
              <w:t>Anil Sama</w:t>
              <w:br/>
              <w:t>Carolyn Vavrek</w:t>
            </w:r>
          </w:p>
        </w:tc>
      </w:tr>
      <w:tr>
        <w:trPr>
          <w:trHeight w:val="473" w:hRule="atLeast"/>
        </w:trPr>
        <w:tc>
          <w:tcPr>
            <w:tcW w:w="810" w:type="dxa"/>
            <w:tcBorders/>
          </w:tcPr>
          <w:p>
            <w:pPr>
              <w:pStyle w:val="MemoLabel"/>
              <w:spacing w:before="60" w:after="60"/>
              <w:rPr/>
            </w:pPr>
            <w:r>
              <w:rPr/>
              <w:t>Subject:</w:t>
            </w:r>
          </w:p>
        </w:tc>
        <w:tc>
          <w:tcPr>
            <w:tcW w:w="8568" w:type="dxa"/>
            <w:tcBorders/>
          </w:tcPr>
          <w:p>
            <w:pPr>
              <w:pStyle w:val="MemoSubject"/>
              <w:spacing w:before="60" w:after="60"/>
              <w:rPr>
                <w:sz w:val="22"/>
              </w:rPr>
            </w:pPr>
            <w:bookmarkStart w:id="3" w:name="mem_SubjectField"/>
            <w:bookmarkEnd w:id="3"/>
            <w:r>
              <w:rPr>
                <w:sz w:val="22"/>
              </w:rPr>
              <w:t xml:space="preserve">Challenges, Opportunities and Recommendations </w:t>
            </w:r>
          </w:p>
        </w:tc>
      </w:tr>
    </w:tbl>
    <w:p>
      <w:pPr>
        <w:pStyle w:val="TableHeader"/>
        <w:rPr/>
      </w:pPr>
      <w:r>
        <w:rPr/>
      </w:r>
    </w:p>
    <w:p>
      <w:pPr>
        <w:pStyle w:val="BodyText"/>
        <w:rPr/>
      </w:pPr>
      <w:bookmarkStart w:id="4" w:name="mem_BodyField"/>
      <w:bookmarkEnd w:id="4"/>
      <w:r>
        <w:rPr/>
        <w:t xml:space="preserve">As you requested, the following memo summarizes our position on the challenges, opportunities and recommendations for action for the coming fiscal year.  Home Depot’s business strategy of low margin/  high volume sales combined with excellent customer service has made Home Depot a market leader in the $80 billion home improvement industry.  Home Depot’s financial ratios (Attachment 1) reflect this strategy through a general approach of high asset turnover and low profit margins, especially when compared to its closest competitor, Hechinger’s (e.g., profit margin and asset turnover for 1985 for Home Depot was 6.07% and 2.44, while Hechinger’s numbers were 9.04% and 1.72).  </w:t>
      </w:r>
    </w:p>
    <w:p>
      <w:pPr>
        <w:pStyle w:val="BodyText"/>
        <w:spacing w:before="0" w:after="0"/>
        <w:rPr/>
      </w:pPr>
      <w:r>
        <w:rPr/>
        <w:t xml:space="preserve">There are three areas of concern highlighted in the financial ratios for 1984, 1985 and 1986:  </w:t>
      </w:r>
    </w:p>
    <w:p>
      <w:pPr>
        <w:pStyle w:val="BodyText"/>
        <w:numPr>
          <w:ilvl w:val="0"/>
          <w:numId w:val="2"/>
        </w:numPr>
        <w:spacing w:before="0" w:after="0"/>
        <w:rPr/>
      </w:pPr>
      <w:r>
        <w:rPr/>
        <w:t xml:space="preserve">profit margins and gross profit margins are falling steadily without a corollary increase in asset turnover, indicating that there is potential trouble with the cost of operating activities, </w:t>
      </w:r>
    </w:p>
    <w:p>
      <w:pPr>
        <w:pStyle w:val="BodyText"/>
        <w:numPr>
          <w:ilvl w:val="0"/>
          <w:numId w:val="2"/>
        </w:numPr>
        <w:spacing w:before="0" w:after="0"/>
        <w:rPr/>
      </w:pPr>
      <w:r>
        <w:rPr/>
        <w:t xml:space="preserve">gross profit margins are higher than Hechinger’s, implying that Home Depot is not fully implementing its strategy of low margin/high volume and </w:t>
      </w:r>
    </w:p>
    <w:p>
      <w:pPr>
        <w:pStyle w:val="BodyText"/>
        <w:numPr>
          <w:ilvl w:val="0"/>
          <w:numId w:val="2"/>
        </w:numPr>
        <w:rPr/>
      </w:pPr>
      <w:r>
        <w:rPr/>
        <w:t xml:space="preserve">SG&amp;A as a percentage of sales has been steadily increasing indicating that the cost of ongoing operations may not be profitable in the long-term.  </w:t>
      </w:r>
    </w:p>
    <w:p>
      <w:pPr>
        <w:pStyle w:val="BodyText"/>
        <w:rPr/>
      </w:pPr>
      <w:r>
        <w:rPr/>
        <w:t xml:space="preserve">These ratios raise the question: “Is the cost of providing a high level of customer service with a low margin/high volume business sustainable in the long-term?”  Because it does not seem that Home Depot has fully implemented its low margin strategy, nor worked out all the cost issues with delivering a high level of customer service, we believe it is too soon to answer this question.  We would not abandon this business strategy immediately, but would recommend scaling back expansion efforts until Home Depot has controlled the cost of operations.  Although continued growth at this point might seem reasonable given the number of new entrants in the home improvement market and Hechinger’s planned expansion of 10 – 14 stores a year, we recommend that Home Depot only open 2 –3 new stores in 1986 (either those that are furthest along in construction or most likely to have the highest ROI).  Home Depot should instead focus on improving operational efficiency through cutting gross margins, reducing SG&amp;A expenses and increasing inventory, asset and receivables turnover.  Improved operational efficiency should enable Home Depot, a relatively mature firm, to generate more cash from operations to support aggressive expansion.  </w:t>
      </w:r>
    </w:p>
    <w:p>
      <w:pPr>
        <w:pStyle w:val="TableInput"/>
        <w:autoSpaceDE w:val="false"/>
        <w:spacing w:lineRule="auto" w:line="240" w:before="0" w:after="0"/>
        <w:rPr/>
      </w:pPr>
      <w:r>
        <w:rPr/>
        <w:t xml:space="preserve">Nonetheless, even with this shift in strategy, Home Depot will require some form of financing to continue operations in 1986.  By our calculations, Home Depot needs $25.8 million.  Our recommendation is that this funding be raised through issuing long-term debt until the stock price improves since Home Depot does have some room to increase long-term debt (e.g., current ratio for 1986 is 2.26).  Once the stock price lifts to reflect improved operational results, Home Depot can contemplate a new equity offering to raise capital for aggressive expansion efforts.  </w:t>
      </w:r>
    </w:p>
    <w:p>
      <w:pPr>
        <w:pStyle w:val="Normal"/>
        <w:autoSpaceDE w:val="false"/>
        <w:rPr>
          <w:rFonts w:ascii="Courier New" w:hAnsi="Courier New" w:cs="Courier New"/>
          <w:sz w:val="22"/>
        </w:rPr>
      </w:pPr>
      <w:r>
        <w:rPr>
          <w:rFonts w:cs="Courier New" w:ascii="Courier New" w:hAnsi="Courier New"/>
          <w:sz w:val="22"/>
        </w:rPr>
      </w:r>
    </w:p>
    <w:p>
      <w:pPr>
        <w:pStyle w:val="ccName2"/>
        <w:rPr/>
      </w:pPr>
      <w:r>
        <w:rPr/>
        <w:t>Attachment 1:  Financial Ratios</w:t>
      </w:r>
    </w:p>
    <w:p>
      <w:pPr>
        <w:pStyle w:val="ccName2"/>
        <w:rPr/>
      </w:pPr>
      <w:r>
        <w:rPr/>
      </w:r>
    </w:p>
    <w:tbl>
      <w:tblPr>
        <w:tblW w:w="9381" w:type="dxa"/>
        <w:jc w:val="start"/>
        <w:tblInd w:w="0" w:type="dxa"/>
        <w:tblLayout w:type="fixed"/>
        <w:tblCellMar>
          <w:top w:w="15" w:type="dxa"/>
          <w:start w:w="15" w:type="dxa"/>
          <w:bottom w:w="0" w:type="dxa"/>
          <w:end w:w="15" w:type="dxa"/>
        </w:tblCellMar>
      </w:tblPr>
      <w:tblGrid>
        <w:gridCol w:w="3781"/>
        <w:gridCol w:w="1091"/>
        <w:gridCol w:w="1091"/>
        <w:gridCol w:w="1091"/>
        <w:gridCol w:w="1207"/>
        <w:gridCol w:w="1120"/>
      </w:tblGrid>
      <w:tr>
        <w:trPr>
          <w:trHeight w:val="315" w:hRule="atLeast"/>
        </w:trPr>
        <w:tc>
          <w:tcPr>
            <w:tcW w:w="378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4480" w:type="dxa"/>
            <w:gridSpan w:val="4"/>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4"/>
                <w:szCs w:val="24"/>
              </w:rPr>
            </w:pPr>
            <w:r>
              <w:rPr>
                <w:rFonts w:cs="Arial" w:ascii="Arial" w:hAnsi="Arial"/>
                <w:b/>
                <w:bCs/>
              </w:rPr>
              <w:t>Home Depot</w:t>
            </w:r>
          </w:p>
        </w:tc>
        <w:tc>
          <w:tcPr>
            <w:tcW w:w="1120"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330" w:hRule="atLeast"/>
        </w:trPr>
        <w:tc>
          <w:tcPr>
            <w:tcW w:w="3781"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09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w/adj</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207"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70"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109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109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3-Feb-85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c>
          <w:tcPr>
            <w:tcW w:w="1120"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30-Jan-83</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PROFIT MARGIN:  Profit before Taxes/Sales</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1.47%</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1.66%</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6.07%</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7.41%</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8.39%</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ASSET TURNOVER:  x Sales/Avg. Assets</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2.35</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2.23</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2.44</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3.71</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0.68</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(ROA)</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3.45%</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3.69%</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14.81%</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27.47%</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5.69%</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Avg. Assets/Avg Equity</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3.53</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3.72</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2.44</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1.65</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2.14</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(1-Avg. Tax Rate)</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70.70%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70.70%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53.79%</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54.05%</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53.85%</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ROE</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8.60%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9.70%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19.41%</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24.54%</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6.54%</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(1-Div. Payout Ratio)</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Sustainable Growth Rate</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8.60%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9.70%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19.41%</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24.54%</w:t>
            </w:r>
          </w:p>
        </w:tc>
        <w:tc>
          <w:tcPr>
            <w:tcW w:w="112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6.54%</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207"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Gross Profit/Sales</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25.90%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26.42%</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27.33%</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SGA/Sales</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19.17%</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17.20%</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16.99%</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Interest Expenses/Sales</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-1.46%</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-0.95%</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-0.04%</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Interest Income/Sales</w:t>
            </w:r>
          </w:p>
        </w:tc>
        <w:tc>
          <w:tcPr>
            <w:tcW w:w="109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0.21%</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1.21%</w:t>
            </w:r>
          </w:p>
        </w:tc>
        <w:tc>
          <w:tcPr>
            <w:tcW w:w="1207"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0.95%</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Inventory Turnover</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3.40</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3.79</w:t>
            </w:r>
          </w:p>
        </w:tc>
        <w:tc>
          <w:tcPr>
            <w:tcW w:w="1207"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Average Collection Period (Days)</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11.20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7.90 </w:t>
            </w:r>
          </w:p>
        </w:tc>
        <w:tc>
          <w:tcPr>
            <w:tcW w:w="1207"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5" w:hRule="atLeast"/>
        </w:trPr>
        <w:tc>
          <w:tcPr>
            <w:tcW w:w="3781"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Average Accounts Payable Period (Days)</w:t>
            </w:r>
          </w:p>
        </w:tc>
        <w:tc>
          <w:tcPr>
            <w:tcW w:w="109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37.87 </w:t>
            </w:r>
          </w:p>
        </w:tc>
        <w:tc>
          <w:tcPr>
            <w:tcW w:w="1091"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37.08 </w:t>
            </w:r>
          </w:p>
        </w:tc>
        <w:tc>
          <w:tcPr>
            <w:tcW w:w="1207"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120"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bl>
    <w:p>
      <w:pPr>
        <w:pStyle w:val="ccName2"/>
        <w:rPr/>
      </w:pPr>
      <w:r>
        <w:rPr/>
      </w:r>
    </w:p>
    <w:p>
      <w:pPr>
        <w:pStyle w:val="ccName2"/>
        <w:rPr/>
      </w:pPr>
      <w:r>
        <w:rPr/>
      </w:r>
    </w:p>
    <w:tbl>
      <w:tblPr>
        <w:tblW w:w="7180" w:type="dxa"/>
        <w:jc w:val="start"/>
        <w:tblInd w:w="0" w:type="dxa"/>
        <w:tblLayout w:type="fixed"/>
        <w:tblCellMar>
          <w:top w:w="15" w:type="dxa"/>
          <w:start w:w="15" w:type="dxa"/>
          <w:bottom w:w="0" w:type="dxa"/>
          <w:end w:w="15" w:type="dxa"/>
        </w:tblCellMar>
      </w:tblPr>
      <w:tblGrid>
        <w:gridCol w:w="3820"/>
        <w:gridCol w:w="1082"/>
        <w:gridCol w:w="1082"/>
        <w:gridCol w:w="1196"/>
      </w:tblGrid>
      <w:tr>
        <w:trPr>
          <w:trHeight w:val="315" w:hRule="atLeast"/>
        </w:trPr>
        <w:tc>
          <w:tcPr>
            <w:tcW w:w="38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3360" w:type="dxa"/>
            <w:gridSpan w:val="3"/>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4"/>
                <w:szCs w:val="24"/>
              </w:rPr>
            </w:pPr>
            <w:r>
              <w:rPr>
                <w:rFonts w:cs="Arial" w:ascii="Arial" w:hAnsi="Arial"/>
                <w:b/>
                <w:bCs/>
              </w:rPr>
              <w:t>Hechinger's</w:t>
            </w:r>
          </w:p>
        </w:tc>
      </w:tr>
      <w:tr>
        <w:trPr>
          <w:trHeight w:val="330" w:hRule="atLeast"/>
        </w:trPr>
        <w:tc>
          <w:tcPr>
            <w:tcW w:w="3820"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18"/>
                <w:szCs w:val="18"/>
              </w:rPr>
            </w:pPr>
            <w:r>
              <w:rPr>
                <w:rFonts w:eastAsia="Arial Unicode MS" w:cs="Arial" w:ascii="Arial" w:hAnsi="Arial"/>
                <w:b/>
                <w:bCs/>
                <w:sz w:val="18"/>
                <w:szCs w:val="18"/>
              </w:rPr>
            </w:r>
          </w:p>
        </w:tc>
        <w:tc>
          <w:tcPr>
            <w:tcW w:w="108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08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1196"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70"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8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1-Feb-86</w:t>
            </w:r>
          </w:p>
        </w:tc>
        <w:tc>
          <w:tcPr>
            <w:tcW w:w="108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2-Feb-85</w:t>
            </w:r>
          </w:p>
        </w:tc>
        <w:tc>
          <w:tcPr>
            <w:tcW w:w="1196"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PROFIT MARGIN:  Profit before Taxes/Sales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7.80%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9.40%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9.80%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ASSET TURNOVER:  x Sales/Avg. Assets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1.48</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1.72</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2.02</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(ROA)</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11.54%</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16.17%</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19.80%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Avg. Assets/Avg Equity</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2.21</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2.12</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1.79</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(1-Avg. Tax Rate)</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0.62</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0.55</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0.54</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18"/>
                <w:szCs w:val="18"/>
              </w:rPr>
            </w:pPr>
            <w:r>
              <w:rPr>
                <w:rFonts w:cs="Arial" w:ascii="Arial" w:hAnsi="Arial"/>
                <w:b/>
                <w:bCs/>
                <w:sz w:val="18"/>
                <w:szCs w:val="18"/>
              </w:rPr>
              <w:t>ROE</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15.80%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18.90%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19.10%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x (1-Div. Payout Ratio)</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0.93</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0.95</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0.95</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Sustainable Growth Rate</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14.69%</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17.96%</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18.15%</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82"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082"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c>
          <w:tcPr>
            <w:tcW w:w="1196"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 </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Gross Profit/Sales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29.30%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30.10%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32.10%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SGA/Sales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21.60%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21.10%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22.90%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Interest Expenses/Sales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2.10%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1.30%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0.70%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Interest Income/Sales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2.20%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1.70%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1.30%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Inventory Turnover</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4.50</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4.50</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4.40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Average Collection Period (Days)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32.00 </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33.00 </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35.00</w:t>
            </w:r>
          </w:p>
        </w:tc>
      </w:tr>
      <w:tr>
        <w:trPr>
          <w:trHeight w:val="255" w:hRule="atLeast"/>
        </w:trPr>
        <w:tc>
          <w:tcPr>
            <w:tcW w:w="38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Average Accounts Payable Period (Days)</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58.00 </w:t>
            </w:r>
          </w:p>
        </w:tc>
        <w:tc>
          <w:tcPr>
            <w:tcW w:w="1082"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 xml:space="preserve">61.00 </w:t>
            </w:r>
          </w:p>
        </w:tc>
        <w:tc>
          <w:tcPr>
            <w:tcW w:w="1196"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63.00</w:t>
            </w:r>
          </w:p>
        </w:tc>
      </w:tr>
    </w:tbl>
    <w:p>
      <w:pPr>
        <w:pStyle w:val="ccName2"/>
        <w:rPr/>
      </w:pPr>
      <w:r>
        <w:rPr/>
      </w:r>
    </w:p>
    <w:sectPr>
      <w:headerReference w:type="default" r:id="rId2"/>
      <w:headerReference w:type="first" r:id="rId3"/>
      <w:type w:val="nextPage"/>
      <w:pgSz w:w="12240" w:h="15840"/>
      <w:pgMar w:left="1440" w:right="1440" w:gutter="0" w:header="446"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spacing w:lineRule="exact" w:line="260"/>
      <w:rP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spacing w:lineRule="exact" w:line="260"/>
      <w:rPr>
        <w:sz w:val="22"/>
      </w:rPr>
    </w:pPr>
    <w:r>
      <w:rPr>
        <w:sz w:val="22"/>
      </w:rPr>
      <w:t xml:space="preserve">Date:  </w:t>
    </w:r>
    <w:bookmarkStart w:id="5" w:name="mem_DatePage"/>
    <w:bookmarkEnd w:id="5"/>
    <w:r>
      <w:rPr>
        <w:sz w:val="22"/>
      </w:rPr>
      <w:t xml:space="preserve">February 8, 2001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180"/>
      <w:rPr>
        <w:rFonts w:ascii="Arial" w:hAnsi="Arial" w:cs="Arial"/>
        <w:b/>
        <w:sz w:val="15"/>
      </w:rPr>
    </w:pPr>
    <w:r>
      <w:rPr>
        <w:rFonts w:cs="Arial" w:ascii="Arial" w:hAnsi="Arial"/>
        <w:b/>
        <w:sz w:val="15"/>
      </w:rPr>
    </w:r>
  </w:p>
  <w:p>
    <w:pPr>
      <w:pStyle w:val="Header"/>
      <w:spacing w:lineRule="exact" w:line="180"/>
      <w:rPr>
        <w:rFonts w:ascii="Arial" w:hAnsi="Arial" w:cs="Arial"/>
        <w:b/>
        <w:sz w:val="15"/>
      </w:rPr>
    </w:pPr>
    <w:r>
      <w:rPr>
        <w:rFonts w:cs="Arial" w:ascii="Arial" w:hAnsi="Arial"/>
        <w:b/>
        <w:sz w:val="15"/>
      </w:rPr>
    </w:r>
  </w:p>
  <w:p>
    <w:pPr>
      <w:pStyle w:val="Header"/>
      <w:spacing w:lineRule="exact" w:line="180"/>
      <w:rPr>
        <w:rFonts w:ascii="Arial" w:hAnsi="Arial" w:cs="Arial"/>
        <w:sz w:val="15"/>
      </w:rPr>
    </w:pPr>
    <w:r>
      <w:rPr>
        <w:rFonts w:cs="Arial" w:ascii="Arial" w:hAnsi="Arial"/>
        <w:sz w:val="15"/>
      </w:rPr>
    </w:r>
  </w:p>
  <w:p>
    <w:pPr>
      <w:pStyle w:val="Header"/>
      <w:spacing w:lineRule="exact" w:line="180"/>
      <w:rPr>
        <w:rFonts w:ascii="Arial" w:hAnsi="Arial" w:cs="Arial"/>
        <w:sz w:val="15"/>
      </w:rPr>
    </w:pPr>
    <w:r>
      <w:rPr>
        <w:rFonts w:cs="Arial" w:ascii="Arial" w:hAnsi="Arial"/>
        <w:sz w:val="15"/>
      </w:rPr>
    </w:r>
  </w:p>
  <w:p>
    <w:pPr>
      <w:pStyle w:val="Header"/>
      <w:spacing w:lineRule="exact" w:line="180"/>
      <w:rPr>
        <w:rFonts w:ascii="Arial" w:hAnsi="Arial" w:cs="Arial"/>
        <w:sz w:val="15"/>
      </w:rPr>
    </w:pPr>
    <w:r>
      <w:rPr>
        <w:rFonts w:cs="Arial" w:ascii="Arial" w:hAnsi="Arial"/>
        <w:sz w:val="15"/>
      </w:rPr>
    </w:r>
  </w:p>
  <w:p>
    <w:pPr>
      <w:pStyle w:val="Header"/>
      <w:spacing w:lineRule="exact" w:line="180"/>
      <w:rPr>
        <w:rFonts w:ascii="Arial" w:hAnsi="Arial" w:cs="Arial"/>
        <w:sz w:val="15"/>
        <w:lang w:val="en-CA" w:eastAsia="en-CA"/>
      </w:rPr>
    </w:pPr>
    <w:r>
      <w:rPr>
        <w:rFonts w:cs="Arial" w:ascii="Arial" w:hAnsi="Arial"/>
        <w:sz w:val="15"/>
        <w:lang w:val="en-CA" w:eastAsia="en-CA"/>
      </w:rPr>
    </w:r>
    <w:r>
      <mc:AlternateContent>
        <mc:Choice Requires="wps">
          <w:drawing>
            <wp:anchor behindDoc="1" distT="0" distB="0" distL="114935" distR="114935" simplePos="0" locked="0" layoutInCell="0" allowOverlap="1" relativeHeight="3">
              <wp:simplePos x="0" y="0"/>
              <wp:positionH relativeFrom="page">
                <wp:posOffset>965835</wp:posOffset>
              </wp:positionH>
              <wp:positionV relativeFrom="page">
                <wp:posOffset>459740</wp:posOffset>
              </wp:positionV>
              <wp:extent cx="1188720" cy="365760"/>
              <wp:effectExtent l="0" t="0" r="0" b="0"/>
              <wp:wrapNone/>
              <wp:docPr id="1"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w:hAnsi="Arial" w:cs="Arial"/>
                              <w:sz w:val="56"/>
                            </w:rPr>
                          </w:pPr>
                          <w:r>
                            <w:rPr>
                              <w:rFonts w:cs="Arial" w:ascii="Arial" w:hAnsi="Arial"/>
                              <w:sz w:val="56"/>
                            </w:rPr>
                            <w:t>Memo</w:t>
                          </w:r>
                        </w:p>
                      </w:txbxContent>
                    </wps:txbx>
                    <wps:bodyPr anchor="t" lIns="635" tIns="635" rIns="635" bIns="635">
                      <a:noAutofit/>
                    </wps:bodyPr>
                  </wps:wsp>
                </a:graphicData>
              </a:graphic>
            </wp:anchor>
          </w:drawing>
        </mc:Choice>
        <mc:Fallback>
          <w:pict>
            <v:rect fillcolor="#FFFFFF" style="position:absolute;rotation:-0;width:93.6pt;height:28.8pt;mso-wrap-distance-left:9.05pt;mso-wrap-distance-right:9.05pt;mso-wrap-distance-top:0pt;mso-wrap-distance-bottom:0pt;margin-top:36.2pt;mso-position-vertical-relative:page;margin-left:76.05pt;mso-position-horizontal-relative:page">
              <v:fill opacity="0f"/>
              <v:textbox inset="0.000694444444444445in,0.000694444444444445in,0.000694444444444445in,0.000694444444444445in">
                <w:txbxContent>
                  <w:p>
                    <w:pPr>
                      <w:pStyle w:val="Normal"/>
                      <w:rPr>
                        <w:rFonts w:ascii="Arial" w:hAnsi="Arial" w:cs="Arial"/>
                        <w:sz w:val="56"/>
                      </w:rPr>
                    </w:pPr>
                    <w:r>
                      <w:rPr>
                        <w:rFonts w:cs="Arial" w:ascii="Arial" w:hAnsi="Arial"/>
                        <w:sz w:val="56"/>
                      </w:rPr>
                      <w:t>Memo</w:t>
                    </w:r>
                  </w:p>
                </w:txbxContent>
              </v:textbox>
              <w10:wrap type="none"/>
            </v:rect>
          </w:pict>
        </mc:Fallback>
      </mc:AlternateContent>
    </w:r>
  </w:p>
  <w:p>
    <w:pPr>
      <w:pStyle w:val="TableHeader"/>
      <w:keepNext w:val="false"/>
      <w:spacing w:lineRule="auto" w:line="240" w:before="0" w:after="0"/>
      <w:rPr>
        <w:rFonts w:ascii="Times New Roman" w:hAnsi="Times New Roman" w:cs="Times New Roman"/>
        <w:lang w:val="en-CA" w:eastAsia="en-CA"/>
      </w:rPr>
    </w:pPr>
    <w:r>
      <w:rPr>
        <w:rFonts w:cs="Times New Roman" w:ascii="Times New Roman" w:hAnsi="Times New Roman"/>
        <w:lang w:val="en-CA" w:eastAsia="en-CA"/>
      </w:rPr>
    </w:r>
    <w:r>
      <mc:AlternateContent>
        <mc:Choice Requires="wps">
          <w:drawing>
            <wp:anchor behindDoc="0" distT="0" distB="0" distL="114300" distR="114300" simplePos="0" locked="0" layoutInCell="0" allowOverlap="1" relativeHeight="2">
              <wp:simplePos x="0" y="0"/>
              <wp:positionH relativeFrom="page">
                <wp:posOffset>915035</wp:posOffset>
              </wp:positionH>
              <wp:positionV relativeFrom="page">
                <wp:posOffset>274955</wp:posOffset>
              </wp:positionV>
              <wp:extent cx="1472565" cy="547370"/>
              <wp:effectExtent l="0" t="0" r="0" b="0"/>
              <wp:wrapSquare wrapText="bothSides"/>
              <wp:docPr id="2" name="Frame2"/>
              <a:graphic xmlns:a="http://schemas.openxmlformats.org/drawingml/2006/main">
                <a:graphicData uri="http://schemas.microsoft.com/office/word/2010/wordprocessingShape">
                  <wps:wsp>
                    <wps:cNvSpPr txBox="1"/>
                    <wps:spPr>
                      <a:xfrm>
                        <a:off x="0" y="0"/>
                        <a:ext cx="1472565" cy="547370"/>
                      </a:xfrm>
                      <a:prstGeom prst="rect"/>
                      <a:solidFill>
                        <a:srgbClr val="FFFFFF">
                          <a:alpha val="0"/>
                        </a:srgbClr>
                      </a:solidFill>
                    </wps:spPr>
                    <wps:txbx>
                      <w:txbxContent>
                        <w:p>
                          <w:pPr>
                            <w:pStyle w:val="Normal"/>
                            <w:spacing w:lineRule="exact" w:line="180"/>
                            <w:rPr>
                              <w:rFonts w:ascii="Arial" w:hAnsi="Arial" w:cs="Arial"/>
                              <w:sz w:val="15"/>
                            </w:rPr>
                          </w:pPr>
                          <w:r>
                            <w:rPr>
                              <w:rFonts w:cs="Arial" w:ascii="Arial" w:hAnsi="Arial"/>
                              <w:sz w:val="15"/>
                            </w:rPr>
                          </w:r>
                          <w:bookmarkStart w:id="6" w:name="mem_Address"/>
                          <w:bookmarkStart w:id="7" w:name="mem_Address"/>
                          <w:bookmarkEnd w:id="7"/>
                        </w:p>
                      </w:txbxContent>
                    </wps:txbx>
                    <wps:bodyPr anchor="t" lIns="0" tIns="0" rIns="0" bIns="0">
                      <a:noAutofit/>
                    </wps:bodyPr>
                  </wps:wsp>
                </a:graphicData>
              </a:graphic>
            </wp:anchor>
          </w:drawing>
        </mc:Choice>
        <mc:Fallback>
          <w:pict>
            <v:rect fillcolor="#FFFFFF" style="position:absolute;rotation:-0;width:115.95pt;height:43.1pt;mso-wrap-distance-left:9pt;mso-wrap-distance-right:9pt;mso-wrap-distance-top:0pt;mso-wrap-distance-bottom:0pt;margin-top:21.65pt;mso-position-vertical-relative:page;margin-left:72.05pt;mso-position-horizontal-relative:page">
              <v:fill opacity="0f"/>
              <v:textbox inset="0in,0in,0in,0in">
                <w:txbxContent>
                  <w:p>
                    <w:pPr>
                      <w:pStyle w:val="Normal"/>
                      <w:spacing w:lineRule="exact" w:line="180"/>
                      <w:rPr>
                        <w:rFonts w:ascii="Arial" w:hAnsi="Arial" w:cs="Arial"/>
                        <w:sz w:val="15"/>
                      </w:rPr>
                    </w:pPr>
                    <w:r>
                      <w:rPr>
                        <w:rFonts w:cs="Arial" w:ascii="Arial" w:hAnsi="Arial"/>
                        <w:sz w:val="15"/>
                      </w:rPr>
                    </w:r>
                    <w:bookmarkStart w:id="8" w:name="mem_Address"/>
                    <w:bookmarkStart w:id="9" w:name="mem_Address"/>
                    <w:bookmarkEnd w:id="9"/>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15"/>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60" w:before="0" w:after="24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
    <w:name w:val="Table Header"/>
    <w:basedOn w:val="Heading1"/>
    <w:qFormat/>
    <w:pPr>
      <w:numPr>
        <w:ilvl w:val="0"/>
        <w:numId w:val="0"/>
      </w:numPr>
      <w:spacing w:lineRule="exact" w:line="180" w:before="90" w:after="0"/>
      <w:outlineLvl w:val="9"/>
    </w:pPr>
    <w:rPr>
      <w:b w:val="false"/>
      <w:sz w:val="16"/>
    </w:rPr>
  </w:style>
  <w:style w:type="paragraph" w:styleId="TableInput">
    <w:name w:val="Table Input"/>
    <w:basedOn w:val="Normal"/>
    <w:qFormat/>
    <w:pPr>
      <w:spacing w:lineRule="exact" w:line="260" w:before="30" w:after="0"/>
    </w:pPr>
    <w:rPr>
      <w:sz w:val="22"/>
    </w:rPr>
  </w:style>
  <w:style w:type="paragraph" w:styleId="Footertext">
    <w:name w:val="Footer text"/>
    <w:basedOn w:val="Heading1"/>
    <w:qFormat/>
    <w:pPr>
      <w:numPr>
        <w:ilvl w:val="0"/>
        <w:numId w:val="0"/>
      </w:numPr>
      <w:spacing w:lineRule="exact" w:line="180"/>
      <w:outlineLvl w:val="9"/>
    </w:pPr>
    <w:rPr/>
  </w:style>
  <w:style w:type="paragraph" w:styleId="MemoDate">
    <w:name w:val="Memo_Date"/>
    <w:basedOn w:val="Normal"/>
    <w:qFormat/>
    <w:pPr>
      <w:spacing w:lineRule="exact" w:line="260" w:before="60" w:after="60"/>
    </w:pPr>
    <w:rPr/>
  </w:style>
  <w:style w:type="paragraph" w:styleId="MemoFrom">
    <w:name w:val="Memo_From"/>
    <w:basedOn w:val="MemoDate"/>
    <w:qFormat/>
    <w:pPr/>
    <w:rPr/>
  </w:style>
  <w:style w:type="paragraph" w:styleId="MemoSubject">
    <w:name w:val="Memo_Subject"/>
    <w:basedOn w:val="MemoFrom"/>
    <w:qFormat/>
    <w:pPr/>
    <w:rPr/>
  </w:style>
  <w:style w:type="paragraph" w:styleId="MemoTo">
    <w:name w:val="Memo_To"/>
    <w:basedOn w:val="MemoDate"/>
    <w:qFormat/>
    <w:pPr/>
    <w:rPr/>
  </w:style>
  <w:style w:type="paragraph" w:styleId="ccName">
    <w:name w:val="ccName"/>
    <w:basedOn w:val="Normal"/>
    <w:qFormat/>
    <w:pPr>
      <w:tabs>
        <w:tab w:val="clear" w:pos="720"/>
        <w:tab w:val="left" w:pos="360" w:leader="none"/>
      </w:tabs>
      <w:spacing w:before="240" w:after="0"/>
    </w:pPr>
    <w:rPr/>
  </w:style>
  <w:style w:type="paragraph" w:styleId="ccName2">
    <w:name w:val="ccName2"/>
    <w:basedOn w:val="Normal"/>
    <w:qFormat/>
    <w:pPr>
      <w:ind w:hanging="0" w:start="360" w:end="0"/>
    </w:pPr>
    <w:rPr>
      <w:sz w:val="22"/>
    </w:rPr>
  </w:style>
  <w:style w:type="paragraph" w:styleId="BlockText">
    <w:name w:val="Block Text"/>
    <w:basedOn w:val="Normal"/>
    <w:qFormat/>
    <w:pPr>
      <w:spacing w:before="0" w:after="120"/>
      <w:ind w:hanging="0" w:start="1440" w:end="1440"/>
    </w:pPr>
    <w:rPr/>
  </w:style>
  <w:style w:type="paragraph" w:styleId="MemoLabel">
    <w:name w:val="Memo_Label"/>
    <w:basedOn w:val="MemoDate"/>
    <w:qFormat/>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D&amp;T Memo.dot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2001-02-07T03:56:00Z</dcterms:created>
  <dc:creator>Deloitte &amp; Touche</dc:creator>
  <dc:description>Deloitte &amp; Touche Memorandum template for Microsoft Word 97 -- US standard paper size</dc:description>
  <dc:language>en-CA</dc:language>
  <cp:lastModifiedBy>Deloitte &amp; Touche</cp:lastModifiedBy>
  <dcterms:modified xsi:type="dcterms:W3CDTF">2001-02-07T20:44:00Z</dcterms:modified>
  <cp:revision>11</cp:revision>
  <dc:subject/>
  <dc:title>D&amp;T Memo</dc:title>
</cp:coreProperties>
</file>