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nknownStyle"/>
        <w:widowControl/>
        <w:spacing w:before="100" w:after="480"/>
        <w:rPr>
          <w:rFonts w:ascii="Helvetica CondensedBlack" w:hAnsi="Helvetica CondensedBlack" w:eastAsia="Helvetica CondensedBlack" w:cs="Helvetica CondensedBlack"/>
          <w:sz w:val="36"/>
          <w:szCs w:val="36"/>
        </w:rPr>
      </w:pPr>
      <w:r>
        <w:rPr>
          <w:rFonts w:eastAsia="Helvetica CondensedBlack" w:cs="Helvetica CondensedBlack" w:ascii="Helvetica CondensedBlack" w:hAnsi="Helvetica CondensedBlack"/>
          <w:sz w:val="36"/>
          <w:szCs w:val="36"/>
        </w:rPr>
        <w:drawing>
          <wp:inline distT="0" distB="0" distL="0" distR="0">
            <wp:extent cx="1594485" cy="5492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594485" cy="549275"/>
                    </a:xfrm>
                    <a:prstGeom prst="rect">
                      <a:avLst/>
                    </a:prstGeom>
                    <a:noFill/>
                  </pic:spPr>
                </pic:pic>
              </a:graphicData>
            </a:graphic>
          </wp:inline>
        </w:drawing>
      </w:r>
    </w:p>
    <w:p>
      <w:pPr>
        <w:pStyle w:val="UnknownStyle"/>
        <w:widowControl/>
        <w:jc w:val="center"/>
        <w:rPr>
          <w:rFonts w:ascii="Helvetica CondensedBlack" w:hAnsi="Helvetica CondensedBlack" w:eastAsia="Helvetica CondensedBlack" w:cs="Helvetica CondensedBlack"/>
        </w:rPr>
      </w:pPr>
      <w:r>
        <w:rPr>
          <w:rFonts w:eastAsia="Helvetica CondensedBlack" w:cs="Helvetica CondensedBlack" w:ascii="Helvetica CondensedBlack" w:hAnsi="Helvetica CondensedBlack"/>
          <w:sz w:val="36"/>
          <w:szCs w:val="36"/>
        </w:rPr>
        <w:t>History and Introduction to Electricity Restructuring</w:t>
      </w:r>
    </w:p>
    <w:p>
      <w:pPr>
        <w:pStyle w:val="UnknownStyle"/>
        <w:widowControl/>
        <w:rPr/>
      </w:pPr>
      <w:r>
        <w:rPr/>
        <w:t xml:space="preserve">A good deal of misinformation and often misrepresentation of the facts about the deregulation of California’s generation markets has been put forth.  What follows is an attempt to refute some of the more common myths and misconceptions.  These will be updated on a regular basis as new issues surface.  First, a brief history: </w:t>
      </w:r>
    </w:p>
    <w:p>
      <w:pPr>
        <w:pStyle w:val="UnknownStyle"/>
        <w:widowControl/>
        <w:rPr/>
      </w:pPr>
      <w:r>
        <w:rPr/>
        <w:t xml:space="preserve">Deregulation of wholesale electricity in California was first proposed by the California Public Utilities Commission (CPUC) in April of 1994 with the release of the so-called “Blue Book.”  Although the CPUC had introduced deregulation concepts as policy alternatives a year earlier, the specific proposals in the Blue Book went far beyond those earlier ideas and were poorly conceived.  As a result, the value of Edison stock, and that of the other investor-owned California electric utilities, dropped by more than 40 percent. </w:t>
      </w:r>
    </w:p>
    <w:p>
      <w:pPr>
        <w:pStyle w:val="UnknownStyle"/>
        <w:widowControl/>
        <w:rPr/>
      </w:pPr>
      <w:r>
        <w:rPr/>
        <w:t xml:space="preserve">SCE opposed the Blue Book proposal, arguing that there was no need to fix an electric supply system that wasn’t broken.  However, over the next year and a half, pressure by regulators, independent generators and the large industrial and commercial businesses for deregulation continued to grow.  SCE was encouraged by state policymakers to take a leadership role in forging a compromise proposal.  SCE worked with consumer groups and independent generators, and in the fall of 1995, offered a deregulation plan to the CPUC and state Legislature.  The CPUC considered this proposal along with others, but did not adopt it when it issued its Preferred Policy Decision in December 1995.  Subsequently, the legislature took up the issue and in the summer of 1996, passed legislation unanimously in both houses, — AB1890 — which had broad support from customers, utilities, labor and environmentalists, et. al.  Key to the agreed-upon legislation was the assurance that investors in utilities — primarily older individuals looking for retirement security, would have a fair opportunity to fully recover their investments in California’s electricity portfolio which had been approved by prior regulatory decisions of the CPUC.  </w:t>
      </w:r>
    </w:p>
    <w:p>
      <w:pPr>
        <w:pStyle w:val="UnknownStyle"/>
        <w:widowControl/>
        <w:rPr/>
      </w:pPr>
      <w:r>
        <w:rPr/>
        <w:t xml:space="preserve">Residential customers received a 10 percent rate reduction during this period of transition, which was scheduled to end the earlier of Dec. 31, 2001, or when costs incurred for the state’s benefit were fully recovered.  The law required that Edison divest at least 50 percent of the generation portfolio it owned in the Los Angeles basin.  Regulators and legislators encouraged SCE to sell all of those plants.  Edison was also required to sell all of the electricity generated by its remaining generation plants into the state wholesale market, the Power Exchange (PX), and purchase all of its electricity requirements for its customers from the PX. </w:t>
      </w:r>
    </w:p>
    <w:p>
      <w:pPr>
        <w:pStyle w:val="UnknownStyle"/>
        <w:widowControl/>
        <w:rPr/>
      </w:pPr>
      <w:r>
        <w:rPr/>
        <w:t xml:space="preserve">The actual implementation of the law was left primarily to the CPUC, and the prices in the wholesale market were set according to market rules developed by the Independent System Operator (ISO) and California Power Exchange (CalPX), entities under the jurisdiction of the Federal Energy Regulatory Commission (FERC).  The implementation of deregulation by these bodies was seriously flawed. </w:t>
      </w:r>
    </w:p>
    <w:p>
      <w:pPr>
        <w:pStyle w:val="UnknownStyle"/>
        <w:widowControl/>
        <w:rPr/>
      </w:pPr>
      <w:r>
        <w:rPr/>
        <w:t> </w:t>
      </w:r>
      <w:r>
        <w:rPr/>
        <w:t xml:space="preserve">Beginning in May 2000, prices in the wholesale market were no longer workably competitive.  Although many factors were responsible, key to the failure of the market was the requirement by the CPUC that the state’s investor-owned utilities purchase all of their electricity in the CalPX day ahead, or so-called, spot market.  In effect, utilities were “short” for the electricity required to serve more than 20 million people and the California economy everyday.  And the CalPX rules set the price for all energy purchased at the highest price bid in the spot markets. </w:t>
      </w:r>
    </w:p>
    <w:p>
      <w:pPr>
        <w:pStyle w:val="UnknownStyle"/>
        <w:widowControl/>
        <w:rPr/>
      </w:pPr>
      <w:r>
        <w:rPr/>
        <w:t xml:space="preserve">This was a prescription for disaster; it allowed an energy cartel to emerge.  A relatively small number of entities, principally owned by out-of-state businesses, largely control the electricity supply for California.  They began bidding prices into the market which were uniformly high and which bore little relationship to the cost of producing electricity.  Even when supplies of electricity for the summer were tight and demand was growing, these underlying conditions were not so aggravated as to justify prices that were often five to 10 times higher than the previous year.  By December, at a time when electricity demand in California is historically low, utilities were paying an average of 22¢/kWh, 24 hours a day, 7 days a week, in the wholesale market, while we were only permitted to recover 6¢ of that cost in retail rates. </w:t>
      </w:r>
    </w:p>
    <w:p>
      <w:pPr>
        <w:pStyle w:val="UnknownStyle"/>
        <w:widowControl/>
        <w:rPr/>
      </w:pPr>
      <w:r>
        <w:rPr/>
        <w:t> </w:t>
      </w:r>
      <w:r>
        <w:rPr/>
        <w:t xml:space="preserve">In March of 1999, more than a year before the market started to malfunction, Edison petitioned the CPUC for approval to enter into long-term contracts with suppliers outside of the CalPX, which would have moderated wholesale prices and made the spot market more of a balancing mechanism, which is how electricity markets generally work everywhere else.  Large and small consumer groups, generators and marketers all opposed SCE’s request, and the CPUC denied our request.  From that point forward, Edison made numerous requests to enter into longer-term contracts within the CalPX, and was opposed at every turn by the same parties, including the generators, marketers, large industrial customers and the so-called small consumer advocates like TURN.  It was not until August of 2000, four months into the crisis, that the CPUC allowed utilities to contract outside the CalPX.  Even then, the CPUC refused to approve contracts which Edison negotiated and which would have allowed us to contract for power at much lower rates.  Now, the horse is out of the barn, and few long-term contracts at reasonable prices are available.  Moreover, Edison’s credit situation does not permit contracting until state action is forthcoming. </w:t>
      </w:r>
    </w:p>
    <w:p>
      <w:pPr>
        <w:pStyle w:val="UnknownStyle"/>
        <w:widowControl/>
        <w:rPr/>
      </w:pPr>
      <w:r>
        <w:rPr/>
        <w:t> </w:t>
      </w:r>
      <w:r>
        <w:rPr/>
        <w:t xml:space="preserve">The fundamental and immediate problem now for California is credit worthiness because the CPUC has so far refused to make a clear and unambiguous policy declaration that Edison is allowed to recover costs SCE incurs for procuring electricity in behalf of its customers.  However United States District Court Judge Ronald Lew upheld this principal as a matter of federal law.  Nevertheless, it remains for the CPUC to take prompt action to implement this principle.  Meanwhile, banks and other lenders are no longer willing to extend credit.  Thus, the specter of large and prolonged blackouts is imminent.    </w:t>
      </w:r>
    </w:p>
    <w:p>
      <w:pPr>
        <w:pStyle w:val="UnknownStyle"/>
        <w:widowControl/>
        <w:rPr/>
      </w:pPr>
      <w:r>
        <w:rPr/>
        <w:t>Edison stands ready to cooperate with state officials as the legislature addresses the question of creating mechanisms that could assure an adequate supply of generation at cost-based pricing, power procurement and new plant construction.  An interim agreement could be reached with governmental officials and power generators that may provide sufficient time and financial breathing room for that to occur.</w:t>
      </w:r>
    </w:p>
    <w:p>
      <w:pPr>
        <w:pStyle w:val="UnknownStyle"/>
        <w:widowControl/>
        <w:spacing w:before="400" w:after="100"/>
        <w:rPr/>
      </w:pPr>
      <w:r>
        <w:rPr/>
        <w:t>January 12, 2001</w:t>
      </w:r>
    </w:p>
    <w:sectPr>
      <w:type w:val="nextPage"/>
      <w:pgSz w:w="12240" w:h="15840"/>
      <w:pgMar w:left="1440" w:right="1440" w:gutter="0" w:header="0" w:top="1080" w:footer="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Helvetica CondensedBlack">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UnknownStyle">
    <w:name w:val="Unknown Style"/>
    <w:basedOn w:val="Normal"/>
    <w:qFormat/>
    <w:pPr>
      <w:spacing w:before="100" w:after="100"/>
    </w:pPr>
    <w:rPr>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2001-01-12T17:02:00Z</dcterms:created>
  <dc:creator>Standard Configuration</dc:creator>
  <dc:description/>
  <dc:language>en-CA</dc:language>
  <cp:lastModifiedBy>Standard Configuration</cp:lastModifiedBy>
  <dcterms:modified xsi:type="dcterms:W3CDTF">2001-01-12T22:10:00Z</dcterms:modified>
  <cp:revision>7</cp:revision>
  <dc:subject/>
  <dc:title>HISTORY AND INTRODUCTION</dc:title>
</cp:coreProperties>
</file>