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firstLine="720" w:start="3600" w:end="0"/>
        <w:rPr/>
      </w:pPr>
      <w:r>
        <w:rPr/>
        <w:t>October 29, 2001</w:t>
      </w:r>
    </w:p>
    <w:p>
      <w:pPr>
        <w:pStyle w:val="Normal"/>
        <w:ind w:firstLine="720" w:start="3600" w:end="0"/>
        <w:rPr/>
      </w:pPr>
      <w:r>
        <w:rPr/>
      </w:r>
    </w:p>
    <w:p>
      <w:pPr>
        <w:pStyle w:val="Normal"/>
        <w:ind w:firstLine="720" w:start="3600" w:end="0"/>
        <w:rPr/>
      </w:pPr>
      <w:r>
        <w:rPr/>
      </w:r>
    </w:p>
    <w:p>
      <w:pPr>
        <w:pStyle w:val="Normal"/>
        <w:ind w:firstLine="720" w:start="3600" w:end="0"/>
        <w:rPr/>
      </w:pPr>
      <w:r>
        <w:rPr/>
      </w:r>
    </w:p>
    <w:p>
      <w:pPr>
        <w:pStyle w:val="Normal"/>
        <w:jc w:val="both"/>
        <w:rPr/>
      </w:pPr>
      <w:r>
        <w:rPr/>
        <w:t>Mr. Frank Hilton</w:t>
      </w:r>
    </w:p>
    <w:p>
      <w:pPr>
        <w:pStyle w:val="Normal"/>
        <w:rPr/>
      </w:pPr>
      <w:r>
        <w:rPr/>
        <w:t>Managing Director</w:t>
      </w:r>
    </w:p>
    <w:p>
      <w:pPr>
        <w:pStyle w:val="Normal"/>
        <w:rPr/>
      </w:pPr>
      <w:r>
        <w:rPr/>
        <w:t xml:space="preserve">    </w:t>
      </w:r>
      <w:r>
        <w:rPr/>
        <w:t>and Chief Credit Officer</w:t>
      </w:r>
    </w:p>
    <w:p>
      <w:pPr>
        <w:pStyle w:val="Normal"/>
        <w:rPr/>
      </w:pPr>
      <w:r>
        <w:rPr/>
        <w:t>American Electric Power</w:t>
      </w:r>
    </w:p>
    <w:p>
      <w:pPr>
        <w:pStyle w:val="Normal"/>
        <w:rPr/>
      </w:pPr>
      <w:r>
        <w:rPr/>
        <w:t>1 Riverside Plaza</w:t>
      </w:r>
    </w:p>
    <w:p>
      <w:pPr>
        <w:pStyle w:val="Normal"/>
        <w:rPr/>
      </w:pPr>
      <w:r>
        <w:rPr/>
        <w:t>Columbus, OH  43215-2373</w:t>
      </w:r>
    </w:p>
    <w:p>
      <w:pPr>
        <w:pStyle w:val="Normal"/>
        <w:rPr/>
      </w:pPr>
      <w:r>
        <w:rPr/>
      </w:r>
    </w:p>
    <w:p>
      <w:pPr>
        <w:pStyle w:val="Normal"/>
        <w:rPr/>
      </w:pPr>
      <w:r>
        <w:rPr/>
        <w:t>Dear Frank:</w:t>
      </w:r>
    </w:p>
    <w:p>
      <w:pPr>
        <w:pStyle w:val="Normal"/>
        <w:rPr/>
      </w:pPr>
      <w:r>
        <w:rPr/>
      </w:r>
    </w:p>
    <w:p>
      <w:pPr>
        <w:pStyle w:val="Normal"/>
        <w:tabs>
          <w:tab w:val="left" w:pos="720" w:leader="none"/>
          <w:tab w:val="left" w:pos="1440" w:leader="none"/>
          <w:tab w:val="left" w:pos="2160" w:leader="none"/>
        </w:tabs>
        <w:rPr/>
      </w:pPr>
      <w:r>
        <w:rPr/>
        <w:tab/>
        <w:t>We are in receipt of your letter dated October 29, 2001 demanding adequate assurance and threatening termination of any or all trades between AEP and Enron.  We assume you are referring to certain power transactions between American Electric Power Service Corporation (“AEPSC”) and Enron Power Marketing, Inc. (“EPMI”).  While a subsidiary of Enron, Enron North America, does have certain financially-settled transactions with AEPSC pursuant to an ISDA Master, in accordance with the express contractual terms in the ISDA Master, ENA is currently posting cost collateral to AEPSC.</w:t>
      </w:r>
    </w:p>
    <w:p>
      <w:pPr>
        <w:pStyle w:val="Normal"/>
        <w:tabs>
          <w:tab w:val="left" w:pos="720" w:leader="none"/>
          <w:tab w:val="left" w:pos="1440" w:leader="none"/>
          <w:tab w:val="left" w:pos="2160" w:leader="none"/>
        </w:tabs>
        <w:rPr/>
      </w:pPr>
      <w:r>
        <w:rPr/>
      </w:r>
    </w:p>
    <w:p>
      <w:pPr>
        <w:pStyle w:val="Normal"/>
        <w:tabs>
          <w:tab w:val="left" w:pos="720" w:leader="none"/>
          <w:tab w:val="left" w:pos="1440" w:leader="none"/>
          <w:tab w:val="left" w:pos="2160" w:leader="none"/>
        </w:tabs>
        <w:rPr/>
      </w:pPr>
      <w:r>
        <w:rPr/>
        <w:tab/>
        <w:t>As you are well aware, AEPSC does not have the right to either (1) request margin and/or adequate assurance, or (2) terminate transactions under the contractual terms of the two agreements, pursuant to which AEPSC and EPMI trade power.</w:t>
      </w:r>
    </w:p>
    <w:p>
      <w:pPr>
        <w:pStyle w:val="Normal"/>
        <w:tabs>
          <w:tab w:val="left" w:pos="720" w:leader="none"/>
          <w:tab w:val="left" w:pos="1440" w:leader="none"/>
          <w:tab w:val="left" w:pos="2160" w:leader="none"/>
        </w:tabs>
        <w:rPr/>
      </w:pPr>
      <w:r>
        <w:rPr/>
      </w:r>
    </w:p>
    <w:p>
      <w:pPr>
        <w:pStyle w:val="Normal"/>
        <w:tabs>
          <w:tab w:val="left" w:pos="720" w:leader="none"/>
          <w:tab w:val="left" w:pos="1440" w:leader="none"/>
          <w:tab w:val="left" w:pos="2160" w:leader="none"/>
        </w:tabs>
        <w:rPr/>
      </w:pPr>
      <w:r>
        <w:rPr/>
        <w:tab/>
        <w:t>AEPSC and EPMI trade pursuant to two agreements, an agreement dated March 30, 1998 whereby AEPSC buys power from EPMI (“AEPSC Purchase Agreement”) and an agreement dated September 29, 1997 whereby AEPSC sells power to EPMI (“AEPSC Sales Agreement”).  Neither agreement provides for the posting of margin.  Neither agreement provides for a termination right other than for non-payment.  EPMI has not failed to pay AEPSC.  Enron Corp., EPMI’s ultimate parent, has issued a guaranty in the amount of $____________ to AEPSC.  Enron Corp. is rated __________ by S&amp;P and ____________ by Moody’s.  Pursuant to the AEPSC Sales Agreement (Section 5.2), EPMI is automatically assured creditworthy so long as its rating is BBB or better from S&amp;P or Baa2 or better.  Only EPMI has the right to determine “reasonable credit review procedures” under the AEPSC Purchase Agreement.</w:t>
      </w:r>
      <w:r>
        <w:br w:type="page"/>
      </w:r>
    </w:p>
    <w:p>
      <w:pPr>
        <w:pStyle w:val="Normal"/>
        <w:tabs>
          <w:tab w:val="left" w:pos="720" w:leader="none"/>
          <w:tab w:val="left" w:pos="1440" w:leader="none"/>
          <w:tab w:val="left" w:pos="2160" w:leader="none"/>
        </w:tabs>
        <w:rPr/>
      </w:pPr>
      <w:r>
        <w:rPr/>
        <w:t>Mr. Frank Hilton</w:t>
      </w:r>
    </w:p>
    <w:p>
      <w:pPr>
        <w:pStyle w:val="Normal"/>
        <w:tabs>
          <w:tab w:val="left" w:pos="720" w:leader="none"/>
          <w:tab w:val="left" w:pos="1440" w:leader="none"/>
          <w:tab w:val="left" w:pos="2160" w:leader="none"/>
        </w:tabs>
        <w:rPr/>
      </w:pPr>
      <w:r>
        <w:rPr/>
        <w:t>Page 2</w:t>
      </w:r>
    </w:p>
    <w:p>
      <w:pPr>
        <w:pStyle w:val="Normal"/>
        <w:tabs>
          <w:tab w:val="left" w:pos="720" w:leader="none"/>
          <w:tab w:val="left" w:pos="1440" w:leader="none"/>
          <w:tab w:val="left" w:pos="2160" w:leader="none"/>
        </w:tabs>
        <w:rPr/>
      </w:pPr>
      <w:r>
        <w:rPr/>
        <w:t>October 29, 2001</w:t>
      </w:r>
    </w:p>
    <w:p>
      <w:pPr>
        <w:pStyle w:val="Normal"/>
        <w:tabs>
          <w:tab w:val="left" w:pos="720" w:leader="none"/>
          <w:tab w:val="left" w:pos="1440" w:leader="none"/>
          <w:tab w:val="left" w:pos="2160" w:leader="none"/>
        </w:tabs>
        <w:rPr/>
      </w:pPr>
      <w:r>
        <w:rPr/>
      </w:r>
    </w:p>
    <w:p>
      <w:pPr>
        <w:pStyle w:val="Normal"/>
        <w:tabs>
          <w:tab w:val="left" w:pos="720" w:leader="none"/>
          <w:tab w:val="left" w:pos="1440" w:leader="none"/>
          <w:tab w:val="left" w:pos="2160" w:leader="none"/>
        </w:tabs>
        <w:rPr/>
      </w:pPr>
      <w:r>
        <w:rPr/>
      </w:r>
    </w:p>
    <w:p>
      <w:pPr>
        <w:pStyle w:val="Normal"/>
        <w:tabs>
          <w:tab w:val="left" w:pos="720" w:leader="none"/>
          <w:tab w:val="left" w:pos="1440" w:leader="none"/>
          <w:tab w:val="left" w:pos="2160" w:leader="none"/>
        </w:tabs>
        <w:rPr/>
      </w:pPr>
      <w:r>
        <w:rPr/>
      </w:r>
    </w:p>
    <w:p>
      <w:pPr>
        <w:pStyle w:val="Normal"/>
        <w:tabs>
          <w:tab w:val="left" w:pos="720" w:leader="none"/>
          <w:tab w:val="left" w:pos="1440" w:leader="none"/>
          <w:tab w:val="left" w:pos="2160" w:leader="none"/>
        </w:tabs>
        <w:rPr/>
      </w:pPr>
      <w:r>
        <w:rPr/>
        <w:tab/>
        <w:t>EPMI hereby confirms that it has and will continue to perform its obligations under the AEPSC Sale Agreement and the AEPSC Purchase Agreement.</w:t>
      </w:r>
    </w:p>
    <w:p>
      <w:pPr>
        <w:pStyle w:val="Normal"/>
        <w:tabs>
          <w:tab w:val="left" w:pos="720" w:leader="none"/>
          <w:tab w:val="left" w:pos="1440" w:leader="none"/>
          <w:tab w:val="left" w:pos="2160" w:leader="none"/>
        </w:tabs>
        <w:rPr/>
      </w:pPr>
      <w:r>
        <w:rPr/>
      </w:r>
    </w:p>
    <w:p>
      <w:pPr>
        <w:pStyle w:val="Normal"/>
        <w:tabs>
          <w:tab w:val="left" w:pos="720" w:leader="none"/>
          <w:tab w:val="left" w:pos="1440" w:leader="none"/>
          <w:tab w:val="left" w:pos="2160" w:leader="none"/>
        </w:tabs>
        <w:rPr/>
      </w:pPr>
      <w:r>
        <w:rPr/>
        <w:tab/>
        <w:tab/>
        <w:tab/>
        <w:tab/>
        <w:tab/>
        <w:tab/>
        <w:t>Very truly yours,</w:t>
      </w:r>
    </w:p>
    <w:p>
      <w:pPr>
        <w:pStyle w:val="Normal"/>
        <w:tabs>
          <w:tab w:val="left" w:pos="720" w:leader="none"/>
          <w:tab w:val="left" w:pos="1440" w:leader="none"/>
          <w:tab w:val="left" w:pos="2160" w:leader="none"/>
        </w:tabs>
        <w:rPr/>
      </w:pPr>
      <w:r>
        <w:rPr/>
      </w:r>
    </w:p>
    <w:p>
      <w:pPr>
        <w:pStyle w:val="Normal"/>
        <w:tabs>
          <w:tab w:val="left" w:pos="720" w:leader="none"/>
          <w:tab w:val="left" w:pos="1440" w:leader="none"/>
          <w:tab w:val="left" w:pos="2160" w:leader="none"/>
        </w:tabs>
        <w:rPr/>
      </w:pPr>
      <w:r>
        <w:rPr/>
      </w:r>
    </w:p>
    <w:p>
      <w:pPr>
        <w:pStyle w:val="Normal"/>
        <w:tabs>
          <w:tab w:val="left" w:pos="720" w:leader="none"/>
          <w:tab w:val="left" w:pos="1440" w:leader="none"/>
          <w:tab w:val="left" w:pos="2160" w:leader="none"/>
        </w:tabs>
        <w:rPr/>
      </w:pPr>
      <w:r>
        <w:rPr/>
      </w:r>
    </w:p>
    <w:p>
      <w:pPr>
        <w:pStyle w:val="Normal"/>
        <w:tabs>
          <w:tab w:val="left" w:pos="720" w:leader="none"/>
          <w:tab w:val="left" w:pos="1440" w:leader="none"/>
          <w:tab w:val="left" w:pos="2160" w:leader="none"/>
        </w:tabs>
        <w:rPr/>
      </w:pPr>
      <w:r>
        <w:rPr/>
        <w:tab/>
        <w:tab/>
        <w:tab/>
        <w:tab/>
        <w:tab/>
        <w:tab/>
        <w:t>William Bradford</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2001-10-29T22:15:00Z</dcterms:created>
  <dc:creator>Janette Elbertson</dc:creator>
  <dc:description/>
  <dc:language>en-CA</dc:language>
  <cp:lastModifiedBy>Janette Elbertson</cp:lastModifiedBy>
  <cp:lastPrinted>2001-10-29T19:00:00Z</cp:lastPrinted>
  <dcterms:modified xsi:type="dcterms:W3CDTF">2001-10-29T22:35:00Z</dcterms:modified>
  <cp:revision>5</cp:revision>
  <dc:subject/>
  <dc:title>Mr</dc:title>
</cp:coreProperties>
</file>