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51327988" r:id="rId2"/>
        </w:object>
      </w:r>
      <w:r>
        <w:rPr>
          <w:rFonts w:eastAsia="Garamond" w:cs="Garamond" w:ascii="Garamond" w:hAnsi="Garamond"/>
          <w:emboss/>
          <w:color w:val="000080"/>
          <w:sz w:val="48"/>
        </w:rPr>
        <w:t xml:space="preserve">                               </w:t>
      </w:r>
      <w:r>
        <w:rPr>
          <w:rFonts w:cs="Garamond" w:ascii="Garamond" w:hAnsi="Garamond"/>
          <w:color w:val="000080"/>
          <w:sz w:val="40"/>
        </w:rPr>
        <w:t>Enron North America Competitive Analysis</w:t>
      </w:r>
    </w:p>
    <w:p>
      <w:pPr>
        <w:pStyle w:val="Subtitle"/>
        <w:ind w:start="5040" w:end="0"/>
        <w:jc w:val="end"/>
        <w:rPr>
          <w:rFonts w:ascii="Garamond" w:hAnsi="Garamond" w:cs="Garamond"/>
          <w:color w:val="000080"/>
          <w:sz w:val="40"/>
        </w:rPr>
      </w:pPr>
      <w:r>
        <w:rPr>
          <w:rFonts w:eastAsia="Garamond" w:cs="Garamond" w:ascii="Garamond" w:hAnsi="Garamond"/>
          <w:color w:val="000080"/>
          <w:sz w:val="40"/>
        </w:rPr>
        <w:t xml:space="preserve"> </w:t>
      </w:r>
      <w:r>
        <w:rPr>
          <w:rFonts w:cs="Garamond" w:ascii="Garamond" w:hAnsi="Garamond"/>
          <w:color w:val="000080"/>
          <w:sz w:val="40"/>
        </w:rPr>
        <w:t>&amp; Business Controls</w:t>
      </w:r>
    </w:p>
    <w:p>
      <w:pPr>
        <w:pStyle w:val="Subtitle"/>
        <w:jc w:val="start"/>
        <w:rPr>
          <w:rFonts w:ascii="Garamond" w:hAnsi="Garamond" w:cs="Garamond"/>
          <w:color w:val="000080"/>
          <w:sz w:val="28"/>
        </w:rPr>
      </w:pPr>
      <w:r>
        <w:rPr>
          <w:rFonts w:cs="Garamond" w:ascii="Garamond" w:hAnsi="Garamond"/>
          <w:color w:val="000080"/>
          <w:sz w:val="28"/>
        </w:rPr>
      </w:r>
    </w:p>
    <w:p>
      <w:pPr>
        <w:pStyle w:val="Subtitle"/>
        <w:jc w:val="start"/>
        <w:rPr>
          <w:b/>
          <w:color w:val="000000"/>
          <w:sz w:val="22"/>
        </w:rPr>
      </w:pPr>
      <w:r>
        <w:rPr>
          <w:b/>
          <w:color w:val="000000"/>
          <w:sz w:val="22"/>
        </w:rPr>
        <w:t>MEMORANDUM</w:t>
      </w:r>
    </w:p>
    <w:p>
      <w:pPr>
        <w:pStyle w:val="Subtitle"/>
        <w:jc w:val="start"/>
        <w:rPr>
          <w:b/>
          <w:color w:val="000000"/>
          <w:sz w:val="22"/>
        </w:rPr>
      </w:pPr>
      <w:r>
        <w:rPr>
          <w:b/>
          <w:color w:val="000000"/>
          <w:sz w:val="22"/>
        </w:rPr>
      </w:r>
    </w:p>
    <w:p>
      <w:pPr>
        <w:pStyle w:val="Subtitle"/>
        <w:jc w:val="start"/>
        <w:rPr>
          <w:color w:val="000000"/>
          <w:sz w:val="22"/>
        </w:rPr>
      </w:pPr>
      <w:r>
        <w:rPr>
          <w:color w:val="000000"/>
          <w:sz w:val="22"/>
        </w:rPr>
        <w:t xml:space="preserve">TO: </w:t>
        <w:tab/>
        <w:tab/>
        <w:t>Gary Hickerson</w:t>
      </w:r>
    </w:p>
    <w:p>
      <w:pPr>
        <w:pStyle w:val="Subtitle"/>
        <w:jc w:val="start"/>
        <w:rPr>
          <w:color w:val="000000"/>
          <w:sz w:val="22"/>
        </w:rPr>
      </w:pPr>
      <w:r>
        <w:rPr>
          <w:color w:val="000000"/>
          <w:sz w:val="22"/>
        </w:rPr>
        <w:t>FROM:</w:t>
        <w:tab/>
        <w:tab/>
        <w:t>Scott Tholan &amp; Robert Johnston</w:t>
      </w:r>
    </w:p>
    <w:p>
      <w:pPr>
        <w:pStyle w:val="Subtitle"/>
        <w:jc w:val="start"/>
        <w:rPr>
          <w:color w:val="000000"/>
          <w:sz w:val="22"/>
        </w:rPr>
      </w:pPr>
      <w:r>
        <w:rPr>
          <w:color w:val="000000"/>
          <w:sz w:val="22"/>
        </w:rPr>
        <w:t>CC:</w:t>
        <w:tab/>
        <w:tab/>
        <w:t>Vince Kaminski, Mike Roberts, Chris Clark, Ted Noble</w:t>
      </w:r>
    </w:p>
    <w:p>
      <w:pPr>
        <w:pStyle w:val="Subtitle"/>
        <w:jc w:val="start"/>
        <w:rPr>
          <w:color w:val="000000"/>
          <w:sz w:val="22"/>
        </w:rPr>
      </w:pPr>
      <w:r>
        <w:rPr>
          <w:color w:val="000000"/>
          <w:sz w:val="22"/>
        </w:rPr>
        <w:t>DATE:</w:t>
        <w:tab/>
        <w:tab/>
        <w:t>29 September 2000</w:t>
      </w:r>
    </w:p>
    <w:p>
      <w:pPr>
        <w:pStyle w:val="Subtitle"/>
        <w:pBdr>
          <w:bottom w:val="single" w:sz="12" w:space="1" w:color="000000"/>
        </w:pBdr>
        <w:jc w:val="start"/>
        <w:rPr>
          <w:color w:val="000000"/>
          <w:sz w:val="22"/>
        </w:rPr>
      </w:pPr>
      <w:r>
        <w:rPr>
          <w:color w:val="000000"/>
          <w:sz w:val="22"/>
        </w:rPr>
        <w:t xml:space="preserve">RE: </w:t>
        <w:tab/>
        <w:tab/>
        <w:t>“Happy Meal” project</w:t>
      </w:r>
    </w:p>
    <w:p>
      <w:pPr>
        <w:pStyle w:val="Subtitle"/>
        <w:jc w:val="start"/>
        <w:rPr>
          <w:color w:val="000080"/>
          <w:sz w:val="22"/>
        </w:rPr>
      </w:pPr>
      <w:r>
        <w:rPr>
          <w:color w:val="000080"/>
          <w:sz w:val="22"/>
        </w:rPr>
      </w:r>
    </w:p>
    <w:p>
      <w:pPr>
        <w:pStyle w:val="Normal"/>
        <w:spacing w:lineRule="atLeast" w:line="240"/>
        <w:rPr>
          <w:color w:val="000000"/>
          <w:sz w:val="22"/>
          <w:lang w:eastAsia="en-US"/>
        </w:rPr>
      </w:pPr>
      <w:r>
        <w:rPr>
          <w:color w:val="000000"/>
          <w:sz w:val="22"/>
          <w:lang w:eastAsia="en-US"/>
        </w:rPr>
        <w:t>To follow-up on our meeting this morning, we would like to confirm the following work plan:</w:t>
      </w:r>
    </w:p>
    <w:p>
      <w:pPr>
        <w:pStyle w:val="Normal"/>
        <w:spacing w:lineRule="atLeast" w:line="240"/>
        <w:rPr>
          <w:color w:val="000000"/>
          <w:sz w:val="22"/>
          <w:lang w:eastAsia="en-US"/>
        </w:rPr>
      </w:pPr>
      <w:r>
        <w:rPr>
          <w:color w:val="000000"/>
          <w:sz w:val="22"/>
          <w:lang w:eastAsia="en-US"/>
        </w:rPr>
      </w:r>
    </w:p>
    <w:p>
      <w:pPr>
        <w:pStyle w:val="Normal"/>
        <w:spacing w:lineRule="atLeast" w:line="240"/>
        <w:rPr>
          <w:b/>
          <w:i/>
          <w:i/>
          <w:color w:val="000000"/>
          <w:sz w:val="22"/>
          <w:lang w:eastAsia="en-US"/>
        </w:rPr>
      </w:pPr>
      <w:r>
        <w:rPr>
          <w:b/>
          <w:i/>
          <w:color w:val="000000"/>
          <w:sz w:val="22"/>
          <w:lang w:eastAsia="en-US"/>
        </w:rPr>
        <w:t>EGM Knowledge Management</w:t>
      </w:r>
    </w:p>
    <w:p>
      <w:pPr>
        <w:pStyle w:val="Normal"/>
        <w:spacing w:lineRule="atLeast" w:line="240"/>
        <w:rPr>
          <w:b/>
          <w:i/>
          <w:i/>
          <w:color w:val="000000"/>
          <w:sz w:val="22"/>
          <w:lang w:eastAsia="en-US"/>
        </w:rPr>
      </w:pPr>
      <w:r>
        <w:rPr>
          <w:b/>
          <w:i/>
          <w:color w:val="000000"/>
          <w:sz w:val="22"/>
          <w:lang w:eastAsia="en-US"/>
        </w:rPr>
      </w:r>
    </w:p>
    <w:p>
      <w:pPr>
        <w:pStyle w:val="Normal"/>
        <w:spacing w:lineRule="atLeast" w:line="240"/>
        <w:rPr>
          <w:color w:val="000000"/>
          <w:sz w:val="22"/>
          <w:lang w:eastAsia="en-US"/>
        </w:rPr>
      </w:pPr>
      <w:r>
        <w:rPr>
          <w:color w:val="000000"/>
          <w:sz w:val="22"/>
          <w:lang w:eastAsia="en-US"/>
        </w:rPr>
        <w:t>The CABC Group will take the lead on the design and implementation of a knowledge management system in support of EGM and EOL information needs. The system will be implemented as follows:</w:t>
      </w:r>
    </w:p>
    <w:p>
      <w:pPr>
        <w:pStyle w:val="Normal"/>
        <w:spacing w:lineRule="atLeast" w:line="240"/>
        <w:rPr>
          <w:color w:val="000000"/>
          <w:sz w:val="22"/>
          <w:lang w:eastAsia="en-US"/>
        </w:rPr>
      </w:pPr>
      <w:r>
        <w:rPr>
          <w:color w:val="000000"/>
          <w:sz w:val="22"/>
          <w:lang w:eastAsia="en-US"/>
        </w:rPr>
      </w:r>
    </w:p>
    <w:p>
      <w:pPr>
        <w:pStyle w:val="Normal"/>
        <w:numPr>
          <w:ilvl w:val="0"/>
          <w:numId w:val="10"/>
        </w:numPr>
        <w:spacing w:lineRule="atLeast" w:line="240"/>
        <w:rPr>
          <w:b/>
          <w:color w:val="000000"/>
          <w:sz w:val="22"/>
          <w:lang w:eastAsia="en-US"/>
        </w:rPr>
      </w:pPr>
      <w:r>
        <w:rPr>
          <w:b/>
          <w:color w:val="000000"/>
          <w:sz w:val="22"/>
          <w:lang w:eastAsia="en-US"/>
        </w:rPr>
        <w:t>Identifying Knowledge Sources</w:t>
      </w:r>
    </w:p>
    <w:p>
      <w:pPr>
        <w:pStyle w:val="Normal"/>
        <w:numPr>
          <w:ilvl w:val="0"/>
          <w:numId w:val="11"/>
        </w:numPr>
        <w:spacing w:lineRule="atLeast" w:line="240"/>
        <w:rPr>
          <w:color w:val="000000"/>
          <w:sz w:val="22"/>
          <w:lang w:eastAsia="en-US"/>
        </w:rPr>
      </w:pPr>
      <w:r>
        <w:rPr>
          <w:color w:val="000000"/>
          <w:sz w:val="22"/>
          <w:lang w:eastAsia="en-US"/>
        </w:rPr>
        <w:t>For each major commodity/trading category (Oil, Agriculture, and Financial), CABC will identify the key sources of information that are currently available to the traders within each grouping.  These sources of information will include-</w:t>
      </w:r>
    </w:p>
    <w:p>
      <w:pPr>
        <w:pStyle w:val="Normal"/>
        <w:numPr>
          <w:ilvl w:val="0"/>
          <w:numId w:val="11"/>
        </w:numPr>
        <w:tabs>
          <w:tab w:val="clear" w:pos="720"/>
          <w:tab w:val="left" w:pos="1080" w:leader="none"/>
        </w:tabs>
        <w:spacing w:lineRule="atLeast" w:line="240"/>
        <w:ind w:hanging="360" w:start="1080" w:end="0"/>
        <w:rPr>
          <w:i/>
          <w:i/>
          <w:color w:val="000000"/>
          <w:sz w:val="22"/>
          <w:lang w:eastAsia="en-US"/>
        </w:rPr>
      </w:pPr>
      <w:r>
        <w:rPr>
          <w:i/>
          <w:color w:val="000000"/>
          <w:sz w:val="22"/>
          <w:lang w:eastAsia="en-US"/>
        </w:rPr>
        <w:t>Fundamental Analysis/Market Movers; Trader Information; Market Data; Internet Sources</w:t>
      </w:r>
    </w:p>
    <w:p>
      <w:pPr>
        <w:pStyle w:val="Normal"/>
        <w:numPr>
          <w:ilvl w:val="0"/>
          <w:numId w:val="11"/>
        </w:numPr>
        <w:tabs>
          <w:tab w:val="clear" w:pos="720"/>
          <w:tab w:val="left" w:pos="1080" w:leader="none"/>
        </w:tabs>
        <w:spacing w:lineRule="atLeast" w:line="240"/>
        <w:ind w:hanging="360" w:start="1080" w:end="0"/>
        <w:rPr>
          <w:i/>
          <w:i/>
          <w:color w:val="000000"/>
          <w:sz w:val="22"/>
          <w:lang w:eastAsia="en-US"/>
        </w:rPr>
      </w:pPr>
      <w:r>
        <w:rPr>
          <w:i/>
          <w:color w:val="000000"/>
          <w:sz w:val="22"/>
          <w:lang w:eastAsia="en-US"/>
        </w:rPr>
        <w:t>Technical/Weather Analysis; HUMINT; TECHINT; Research Models</w:t>
      </w:r>
    </w:p>
    <w:p>
      <w:pPr>
        <w:pStyle w:val="Normal"/>
        <w:spacing w:lineRule="atLeast" w:line="240"/>
        <w:rPr>
          <w:i/>
          <w:i/>
          <w:color w:val="000000"/>
          <w:sz w:val="22"/>
          <w:lang w:eastAsia="en-US"/>
        </w:rPr>
      </w:pPr>
      <w:r>
        <w:rPr>
          <w:i/>
          <w:color w:val="000000"/>
          <w:sz w:val="22"/>
          <w:lang w:eastAsia="en-US"/>
        </w:rPr>
      </w:r>
    </w:p>
    <w:p>
      <w:pPr>
        <w:pStyle w:val="Normal"/>
        <w:numPr>
          <w:ilvl w:val="0"/>
          <w:numId w:val="2"/>
        </w:numPr>
        <w:spacing w:lineRule="atLeast" w:line="240"/>
        <w:rPr>
          <w:color w:val="000000"/>
          <w:sz w:val="22"/>
          <w:lang w:eastAsia="en-US"/>
        </w:rPr>
      </w:pPr>
      <w:r>
        <w:rPr>
          <w:color w:val="000000"/>
          <w:sz w:val="22"/>
          <w:lang w:eastAsia="en-US"/>
        </w:rPr>
        <w:t xml:space="preserve">Working with Vince Kaminski and Mike Roberts from the Research Group, Judy Schlesinger from E-Source, and the various traders, the CABC Group will present a preliminary table outlining sources of information by </w:t>
      </w:r>
      <w:r>
        <w:rPr>
          <w:b/>
          <w:color w:val="000000"/>
          <w:sz w:val="22"/>
          <w:lang w:eastAsia="en-US"/>
        </w:rPr>
        <w:t>Thursday, October 5</w:t>
      </w:r>
      <w:r>
        <w:rPr>
          <w:b/>
          <w:color w:val="000000"/>
          <w:sz w:val="22"/>
          <w:vertAlign w:val="superscript"/>
          <w:lang w:eastAsia="en-US"/>
        </w:rPr>
        <w:t>th</w:t>
      </w:r>
      <w:r>
        <w:rPr>
          <w:color w:val="000000"/>
          <w:sz w:val="22"/>
          <w:lang w:eastAsia="en-US"/>
        </w:rPr>
        <w:t>.  The table will outline a model for information flow to the traders, using agriculture as the initial example.</w:t>
      </w:r>
    </w:p>
    <w:p>
      <w:pPr>
        <w:pStyle w:val="Normal"/>
        <w:spacing w:lineRule="atLeast" w:line="240"/>
        <w:rPr>
          <w:color w:val="000000"/>
          <w:sz w:val="22"/>
          <w:lang w:eastAsia="en-US"/>
        </w:rPr>
      </w:pPr>
      <w:r>
        <w:rPr>
          <w:color w:val="000000"/>
          <w:sz w:val="22"/>
          <w:lang w:eastAsia="en-US"/>
        </w:rPr>
      </w:r>
    </w:p>
    <w:p>
      <w:pPr>
        <w:pStyle w:val="Normal"/>
        <w:numPr>
          <w:ilvl w:val="0"/>
          <w:numId w:val="10"/>
        </w:numPr>
        <w:spacing w:lineRule="atLeast" w:line="240"/>
        <w:rPr>
          <w:b/>
          <w:color w:val="000000"/>
          <w:sz w:val="22"/>
          <w:lang w:eastAsia="en-US"/>
        </w:rPr>
      </w:pPr>
      <w:r>
        <w:rPr>
          <w:b/>
          <w:color w:val="000000"/>
          <w:sz w:val="22"/>
          <w:lang w:eastAsia="en-US"/>
        </w:rPr>
        <w:t>Establishing Intranet for One-Stop Proprietary Research</w:t>
      </w:r>
    </w:p>
    <w:p>
      <w:pPr>
        <w:pStyle w:val="Normal"/>
        <w:numPr>
          <w:ilvl w:val="0"/>
          <w:numId w:val="9"/>
        </w:numPr>
        <w:spacing w:lineRule="atLeast" w:line="240"/>
        <w:rPr>
          <w:color w:val="000000"/>
          <w:sz w:val="22"/>
          <w:lang w:eastAsia="en-US"/>
        </w:rPr>
      </w:pPr>
      <w:r>
        <w:rPr>
          <w:color w:val="000000"/>
          <w:sz w:val="22"/>
          <w:lang w:eastAsia="en-US"/>
        </w:rPr>
        <w:t>Under the primary direction of the Research Group and your (EGM) IT team, the CABC Group will support efforts to create a centralized, one-stop, password-protected intra-net site for all proprietary information and analysis.  This will include reports prepared by senior analysts (to be hired) for each major trading category that incorporate all open-source (fundamental analysis, market data, internet, trader info) and proprietary (HUMINT, TECHINT, Technical/Weather Analysis, and Research Models).</w:t>
      </w:r>
    </w:p>
    <w:p>
      <w:pPr>
        <w:pStyle w:val="Normal"/>
        <w:numPr>
          <w:ilvl w:val="0"/>
          <w:numId w:val="9"/>
        </w:numPr>
        <w:spacing w:lineRule="atLeast" w:line="240"/>
        <w:rPr>
          <w:b/>
          <w:color w:val="000000"/>
          <w:sz w:val="22"/>
          <w:lang w:eastAsia="en-US"/>
        </w:rPr>
      </w:pPr>
      <w:r>
        <w:rPr>
          <w:b/>
          <w:color w:val="000000"/>
          <w:sz w:val="22"/>
          <w:lang w:eastAsia="en-US"/>
        </w:rPr>
        <w:t>The intranet site will be launched by October 30</w:t>
      </w:r>
      <w:r>
        <w:rPr>
          <w:b/>
          <w:color w:val="000000"/>
          <w:sz w:val="22"/>
          <w:vertAlign w:val="superscript"/>
          <w:lang w:eastAsia="en-US"/>
        </w:rPr>
        <w:t xml:space="preserve">th,, </w:t>
      </w:r>
      <w:r>
        <w:rPr>
          <w:b/>
          <w:color w:val="000000"/>
          <w:sz w:val="22"/>
          <w:lang w:eastAsia="en-US"/>
        </w:rPr>
        <w:t>subject to the availability of the EGM and Research IT specialists.</w:t>
      </w:r>
    </w:p>
    <w:p>
      <w:pPr>
        <w:pStyle w:val="Normal"/>
        <w:spacing w:lineRule="atLeast" w:line="240"/>
        <w:rPr>
          <w:b/>
          <w:color w:val="000000"/>
          <w:sz w:val="22"/>
          <w:lang w:eastAsia="en-US"/>
        </w:rPr>
      </w:pPr>
      <w:r>
        <w:rPr>
          <w:b/>
          <w:color w:val="000000"/>
          <w:sz w:val="22"/>
          <w:lang w:eastAsia="en-US"/>
        </w:rPr>
      </w:r>
    </w:p>
    <w:p>
      <w:pPr>
        <w:pStyle w:val="Normal"/>
        <w:numPr>
          <w:ilvl w:val="0"/>
          <w:numId w:val="10"/>
        </w:numPr>
        <w:spacing w:lineRule="atLeast" w:line="240"/>
        <w:rPr>
          <w:b/>
          <w:color w:val="000000"/>
          <w:sz w:val="22"/>
          <w:lang w:eastAsia="en-US"/>
        </w:rPr>
      </w:pPr>
      <w:r>
        <w:rPr>
          <w:b/>
          <w:color w:val="000000"/>
          <w:sz w:val="22"/>
          <w:lang w:eastAsia="en-US"/>
        </w:rPr>
        <w:t>Establishing Extranet Site for EOL Customers</w:t>
      </w:r>
    </w:p>
    <w:p>
      <w:pPr>
        <w:pStyle w:val="Normal"/>
        <w:numPr>
          <w:ilvl w:val="0"/>
          <w:numId w:val="3"/>
        </w:numPr>
        <w:spacing w:lineRule="atLeast" w:line="240"/>
        <w:rPr>
          <w:color w:val="000000"/>
          <w:sz w:val="22"/>
          <w:lang w:eastAsia="en-US"/>
        </w:rPr>
      </w:pPr>
      <w:r>
        <w:rPr>
          <w:color w:val="000000"/>
          <w:sz w:val="22"/>
          <w:lang w:eastAsia="en-US"/>
        </w:rPr>
        <w:t>An external web site for EOL customers will be designed to include non-proprietary information, or could be configured to include proprietary information on an embargo basis, say 24 hours after it goes to the intranet site.  That way our proprietary information could be used as a market mover when it becomes public, with our traders pre-positioned to take advantage.</w:t>
      </w:r>
    </w:p>
    <w:p>
      <w:pPr>
        <w:pStyle w:val="Normal"/>
        <w:numPr>
          <w:ilvl w:val="0"/>
          <w:numId w:val="3"/>
        </w:numPr>
        <w:spacing w:lineRule="atLeast" w:line="240"/>
        <w:rPr>
          <w:color w:val="000000"/>
          <w:sz w:val="22"/>
          <w:lang w:eastAsia="en-US"/>
        </w:rPr>
      </w:pPr>
      <w:r>
        <w:rPr>
          <w:color w:val="000000"/>
          <w:sz w:val="22"/>
          <w:lang w:eastAsia="en-US"/>
        </w:rPr>
        <w:t>To facilitate the intranet and extranet sites, an IT web manager will be identified by EGM and Research Group to assume responsibility for maintaining secure and reliable access to the sites.  A professional editor will also be hired to facilitate the production of content for the sites.</w:t>
      </w:r>
    </w:p>
    <w:p>
      <w:pPr>
        <w:pStyle w:val="Normal"/>
        <w:numPr>
          <w:ilvl w:val="0"/>
          <w:numId w:val="3"/>
        </w:numPr>
        <w:spacing w:lineRule="atLeast" w:line="240"/>
        <w:rPr>
          <w:b/>
          <w:color w:val="000000"/>
          <w:sz w:val="22"/>
          <w:lang w:eastAsia="en-US"/>
        </w:rPr>
      </w:pPr>
      <w:r>
        <w:rPr>
          <w:b/>
          <w:color w:val="000000"/>
          <w:sz w:val="22"/>
          <w:lang w:eastAsia="en-US"/>
        </w:rPr>
        <w:t>The extranet site should be launched by November 15</w:t>
      </w:r>
      <w:r>
        <w:rPr>
          <w:b/>
          <w:color w:val="000000"/>
          <w:sz w:val="22"/>
          <w:vertAlign w:val="superscript"/>
          <w:lang w:eastAsia="en-US"/>
        </w:rPr>
        <w:t>th</w:t>
      </w:r>
      <w:r>
        <w:rPr>
          <w:b/>
          <w:color w:val="000000"/>
          <w:sz w:val="22"/>
          <w:lang w:eastAsia="en-US"/>
        </w:rPr>
        <w:t>, subject to the availability of the EGM and Research Group IT specialists.</w:t>
      </w:r>
    </w:p>
    <w:p>
      <w:pPr>
        <w:pStyle w:val="Normal"/>
        <w:spacing w:lineRule="atLeast" w:line="240"/>
        <w:rPr>
          <w:b/>
          <w:color w:val="000000"/>
          <w:sz w:val="22"/>
          <w:lang w:eastAsia="en-US"/>
        </w:rPr>
      </w:pPr>
      <w:r>
        <w:rPr>
          <w:b/>
          <w:color w:val="000000"/>
          <w:sz w:val="22"/>
          <w:lang w:eastAsia="en-US"/>
        </w:rPr>
      </w:r>
    </w:p>
    <w:p>
      <w:pPr>
        <w:pStyle w:val="Normal"/>
        <w:spacing w:lineRule="atLeast" w:line="240"/>
        <w:rPr>
          <w:b/>
          <w:color w:val="000000"/>
          <w:sz w:val="22"/>
          <w:lang w:eastAsia="en-US"/>
        </w:rPr>
      </w:pPr>
      <w:r>
        <w:rPr>
          <w:b/>
          <w:color w:val="000000"/>
          <w:sz w:val="22"/>
          <w:lang w:eastAsia="en-US"/>
        </w:rPr>
      </w:r>
    </w:p>
    <w:p>
      <w:pPr>
        <w:pStyle w:val="Normal"/>
        <w:spacing w:lineRule="atLeast" w:line="240"/>
        <w:rPr>
          <w:b/>
          <w:color w:val="000000"/>
          <w:sz w:val="22"/>
          <w:lang w:eastAsia="en-US"/>
        </w:rPr>
      </w:pPr>
      <w:r>
        <w:rPr>
          <w:b/>
          <w:color w:val="000000"/>
          <w:sz w:val="22"/>
          <w:lang w:eastAsia="en-US"/>
        </w:rPr>
        <w:t>TRANSFER/HIRING REQUIREMENTS</w:t>
      </w:r>
    </w:p>
    <w:p>
      <w:pPr>
        <w:pStyle w:val="Normal"/>
        <w:spacing w:lineRule="atLeast" w:line="240"/>
        <w:rPr>
          <w:b/>
          <w:color w:val="000000"/>
          <w:sz w:val="22"/>
          <w:lang w:eastAsia="en-US"/>
        </w:rPr>
      </w:pPr>
      <w:r>
        <w:rPr>
          <w:b/>
          <w:color w:val="000000"/>
          <w:sz w:val="22"/>
          <w:lang w:eastAsia="en-US"/>
        </w:rPr>
      </w:r>
    </w:p>
    <w:p>
      <w:pPr>
        <w:pStyle w:val="Normal"/>
        <w:spacing w:lineRule="atLeast" w:line="240"/>
        <w:rPr>
          <w:b/>
          <w:color w:val="000000"/>
          <w:sz w:val="22"/>
          <w:lang w:eastAsia="en-US"/>
        </w:rPr>
      </w:pPr>
      <w:r>
        <w:rPr>
          <w:b/>
          <w:color w:val="000000"/>
          <w:sz w:val="22"/>
          <w:lang w:eastAsia="en-US"/>
        </w:rPr>
        <w:t>RESEARCH GROUP:</w:t>
      </w:r>
    </w:p>
    <w:p>
      <w:pPr>
        <w:pStyle w:val="Normal"/>
        <w:spacing w:lineRule="atLeast" w:line="240"/>
        <w:rPr>
          <w:b/>
          <w:color w:val="000000"/>
          <w:sz w:val="22"/>
          <w:lang w:eastAsia="en-US"/>
        </w:rPr>
      </w:pPr>
      <w:r>
        <w:rPr>
          <w:b/>
          <w:color w:val="000000"/>
          <w:sz w:val="22"/>
          <w:lang w:eastAsia="en-US"/>
        </w:rPr>
      </w:r>
    </w:p>
    <w:p>
      <w:pPr>
        <w:pStyle w:val="Normal"/>
        <w:numPr>
          <w:ilvl w:val="0"/>
          <w:numId w:val="5"/>
        </w:numPr>
        <w:spacing w:lineRule="atLeast" w:line="240"/>
        <w:rPr>
          <w:color w:val="000000"/>
          <w:sz w:val="22"/>
          <w:lang w:eastAsia="en-US"/>
        </w:rPr>
      </w:pPr>
      <w:r>
        <w:rPr>
          <w:color w:val="000000"/>
          <w:sz w:val="22"/>
          <w:lang w:eastAsia="en-US"/>
        </w:rPr>
        <w:t>Web Site Content Editor</w:t>
      </w:r>
    </w:p>
    <w:p>
      <w:pPr>
        <w:pStyle w:val="Normal"/>
        <w:numPr>
          <w:ilvl w:val="0"/>
          <w:numId w:val="7"/>
        </w:numPr>
        <w:spacing w:lineRule="atLeast" w:line="240"/>
        <w:rPr>
          <w:color w:val="000000"/>
          <w:sz w:val="22"/>
          <w:lang w:eastAsia="en-US"/>
        </w:rPr>
      </w:pPr>
      <w:r>
        <w:rPr>
          <w:color w:val="000000"/>
          <w:sz w:val="22"/>
          <w:lang w:eastAsia="en-US"/>
        </w:rPr>
        <w:t>Fundamentals Analyst/Quantitative Model Designer for each major trading category (Oil, Agriculture, FX/IR)</w:t>
      </w:r>
    </w:p>
    <w:p>
      <w:pPr>
        <w:pStyle w:val="Normal"/>
        <w:spacing w:lineRule="atLeast" w:line="240"/>
        <w:rPr>
          <w:color w:val="000000"/>
          <w:sz w:val="22"/>
          <w:lang w:eastAsia="en-US"/>
        </w:rPr>
      </w:pPr>
      <w:r>
        <w:rPr>
          <w:color w:val="000000"/>
          <w:sz w:val="22"/>
          <w:lang w:eastAsia="en-US"/>
        </w:rPr>
      </w:r>
    </w:p>
    <w:p>
      <w:pPr>
        <w:pStyle w:val="Normal"/>
        <w:spacing w:lineRule="atLeast" w:line="240"/>
        <w:rPr>
          <w:b/>
          <w:color w:val="000000"/>
          <w:sz w:val="22"/>
          <w:lang w:eastAsia="en-US"/>
        </w:rPr>
      </w:pPr>
      <w:r>
        <w:rPr>
          <w:b/>
          <w:color w:val="000000"/>
          <w:sz w:val="22"/>
          <w:lang w:eastAsia="en-US"/>
        </w:rPr>
        <w:t>EGM:</w:t>
        <w:br/>
      </w:r>
    </w:p>
    <w:p>
      <w:pPr>
        <w:pStyle w:val="Normal"/>
        <w:numPr>
          <w:ilvl w:val="0"/>
          <w:numId w:val="8"/>
        </w:numPr>
        <w:spacing w:lineRule="atLeast" w:line="240"/>
        <w:rPr>
          <w:color w:val="000000"/>
          <w:sz w:val="22"/>
          <w:lang w:eastAsia="en-US"/>
        </w:rPr>
      </w:pPr>
      <w:r>
        <w:rPr>
          <w:color w:val="000000"/>
          <w:sz w:val="22"/>
          <w:lang w:eastAsia="en-US"/>
        </w:rPr>
        <w:t>IT Specialist/Web Site Designer and Manager for Intranet/Extranet sites</w:t>
      </w:r>
    </w:p>
    <w:p>
      <w:pPr>
        <w:pStyle w:val="Normal"/>
        <w:spacing w:lineRule="atLeast" w:line="240"/>
        <w:rPr>
          <w:color w:val="000000"/>
          <w:sz w:val="22"/>
          <w:lang w:eastAsia="en-US"/>
        </w:rPr>
      </w:pPr>
      <w:r>
        <w:rPr>
          <w:color w:val="000000"/>
          <w:sz w:val="22"/>
          <w:lang w:eastAsia="en-US"/>
        </w:rPr>
      </w:r>
    </w:p>
    <w:p>
      <w:pPr>
        <w:pStyle w:val="Normal"/>
        <w:spacing w:lineRule="atLeast" w:line="240"/>
        <w:rPr>
          <w:b/>
          <w:color w:val="000000"/>
          <w:sz w:val="22"/>
          <w:lang w:eastAsia="en-US"/>
        </w:rPr>
      </w:pPr>
      <w:r>
        <w:rPr>
          <w:b/>
          <w:color w:val="000000"/>
          <w:sz w:val="22"/>
          <w:lang w:eastAsia="en-US"/>
        </w:rPr>
        <w:t>CABC:</w:t>
      </w:r>
    </w:p>
    <w:p>
      <w:pPr>
        <w:pStyle w:val="Normal"/>
        <w:spacing w:lineRule="atLeast" w:line="240"/>
        <w:rPr>
          <w:b/>
          <w:color w:val="000000"/>
          <w:sz w:val="22"/>
          <w:lang w:eastAsia="en-US"/>
        </w:rPr>
      </w:pPr>
      <w:r>
        <w:rPr>
          <w:b/>
          <w:color w:val="000000"/>
          <w:sz w:val="22"/>
          <w:lang w:eastAsia="en-US"/>
        </w:rPr>
      </w:r>
    </w:p>
    <w:p>
      <w:pPr>
        <w:pStyle w:val="Normal"/>
        <w:numPr>
          <w:ilvl w:val="0"/>
          <w:numId w:val="4"/>
        </w:numPr>
        <w:spacing w:lineRule="atLeast" w:line="240"/>
        <w:rPr>
          <w:color w:val="000000"/>
          <w:sz w:val="22"/>
          <w:lang w:eastAsia="en-US"/>
        </w:rPr>
      </w:pPr>
      <w:r>
        <w:rPr>
          <w:color w:val="000000"/>
          <w:sz w:val="22"/>
          <w:lang w:eastAsia="en-US"/>
        </w:rPr>
        <w:t>Agricultural Monitoring Specialist for HUMINT</w:t>
      </w:r>
    </w:p>
    <w:p>
      <w:pPr>
        <w:pStyle w:val="Normal"/>
        <w:spacing w:lineRule="atLeast" w:line="240"/>
        <w:rPr>
          <w:b/>
          <w:color w:val="000000"/>
          <w:sz w:val="22"/>
          <w:lang w:eastAsia="en-US"/>
        </w:rPr>
      </w:pPr>
      <w:r>
        <w:rPr>
          <w:b/>
          <w:color w:val="000000"/>
          <w:sz w:val="22"/>
          <w:lang w:eastAsia="en-US"/>
        </w:rPr>
      </w:r>
    </w:p>
    <w:p>
      <w:pPr>
        <w:pStyle w:val="Normal"/>
        <w:spacing w:lineRule="atLeast" w:line="240"/>
        <w:rPr>
          <w:b/>
          <w:color w:val="000000"/>
          <w:sz w:val="22"/>
          <w:lang w:eastAsia="en-US"/>
        </w:rPr>
      </w:pPr>
      <w:r>
        <w:rPr>
          <w:b/>
          <w:color w:val="000000"/>
          <w:sz w:val="22"/>
          <w:lang w:eastAsia="en-US"/>
        </w:rPr>
        <w:t>TACTICAL GROUP:</w:t>
      </w:r>
    </w:p>
    <w:p>
      <w:pPr>
        <w:pStyle w:val="Normal"/>
        <w:spacing w:lineRule="atLeast" w:line="240"/>
        <w:rPr>
          <w:b/>
          <w:color w:val="000000"/>
          <w:sz w:val="22"/>
          <w:lang w:eastAsia="en-US"/>
        </w:rPr>
      </w:pPr>
      <w:r>
        <w:rPr>
          <w:b/>
          <w:color w:val="000000"/>
          <w:sz w:val="22"/>
          <w:lang w:eastAsia="en-US"/>
        </w:rPr>
      </w:r>
    </w:p>
    <w:p>
      <w:pPr>
        <w:pStyle w:val="Normal"/>
        <w:numPr>
          <w:ilvl w:val="0"/>
          <w:numId w:val="6"/>
        </w:numPr>
        <w:spacing w:lineRule="atLeast" w:line="240"/>
        <w:rPr>
          <w:color w:val="000000"/>
          <w:sz w:val="22"/>
          <w:lang w:eastAsia="en-US"/>
        </w:rPr>
      </w:pPr>
      <w:r>
        <w:rPr>
          <w:color w:val="000000"/>
          <w:sz w:val="22"/>
          <w:lang w:eastAsia="en-US"/>
        </w:rPr>
        <w:t>Agricultural Monitoring Specialist for TECHINT</w:t>
      </w:r>
    </w:p>
    <w:p>
      <w:pPr>
        <w:pStyle w:val="Normal"/>
        <w:spacing w:lineRule="atLeast" w:line="240"/>
        <w:rPr>
          <w:b/>
          <w:color w:val="000000"/>
          <w:sz w:val="22"/>
          <w:lang w:eastAsia="en-US"/>
        </w:rPr>
      </w:pPr>
      <w:r>
        <w:rPr>
          <w:b/>
          <w:color w:val="000000"/>
          <w:sz w:val="22"/>
          <w:lang w:eastAsia="en-US"/>
        </w:rPr>
      </w:r>
    </w:p>
    <w:p>
      <w:pPr>
        <w:pStyle w:val="Normal"/>
        <w:spacing w:lineRule="atLeast" w:line="240"/>
        <w:rPr>
          <w:b/>
          <w:color w:val="000000"/>
          <w:sz w:val="22"/>
          <w:lang w:eastAsia="en-US"/>
        </w:rPr>
      </w:pPr>
      <w:r>
        <w:rPr>
          <w:b/>
          <w:color w:val="000000"/>
          <w:sz w:val="22"/>
          <w:lang w:eastAsia="en-US"/>
        </w:rPr>
      </w:r>
    </w:p>
    <w:p>
      <w:pPr>
        <w:pStyle w:val="Normal"/>
        <w:spacing w:lineRule="atLeast" w:line="240"/>
        <w:rPr>
          <w:b/>
          <w:color w:val="000000"/>
          <w:sz w:val="22"/>
          <w:lang w:eastAsia="en-US"/>
        </w:rPr>
      </w:pPr>
      <w:r>
        <w:rPr>
          <w:b/>
          <w:color w:val="000000"/>
          <w:sz w:val="22"/>
          <w:lang w:eastAsia="en-US"/>
        </w:rPr>
      </w:r>
    </w:p>
    <w:sectPr>
      <w:headerReference w:type="default" r:id="rId4"/>
      <w:type w:val="nextPage"/>
      <w:pgSz w:w="12240" w:h="15840"/>
      <w:pgMar w:left="1440" w:right="1440" w:gutter="0" w:header="57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360"/>
        </w:tabs>
        <w:ind w:start="36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Wingdings" w:hAnsi="Wingdings" w:cs="Wingdings"/>
      <w:sz w:val="16"/>
    </w:rPr>
  </w:style>
  <w:style w:type="character" w:styleId="WW8Num8z0">
    <w:name w:val="WW8Num8z0"/>
    <w:qFormat/>
    <w:rPr/>
  </w:style>
  <w:style w:type="character" w:styleId="WW8Num9z0">
    <w:name w:val="WW8Num9z0"/>
    <w:qFormat/>
    <w:rPr>
      <w:rFonts w:ascii="Symbol" w:hAnsi="Symbol" w:cs="Symbol"/>
      <w:color w:val="auto"/>
      <w:sz w:val="28"/>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sz w:val="28"/>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sz w:val="16"/>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color w:val="auto"/>
      <w:sz w:val="28"/>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sz w:val="28"/>
    </w:rPr>
  </w:style>
  <w:style w:type="character" w:styleId="WW8Num60z0">
    <w:name w:val="WW8Num60z0"/>
    <w:qFormat/>
    <w:rPr>
      <w:rFonts w:ascii="Symbol" w:hAnsi="Symbol" w:cs="Symbol"/>
      <w:color w:val="auto"/>
      <w:sz w:val="28"/>
    </w:rPr>
  </w:style>
  <w:style w:type="character" w:styleId="WW8Num61z0">
    <w:name w:val="WW8Num61z0"/>
    <w:qFormat/>
    <w:rPr>
      <w:rFonts w:ascii="Symbol" w:hAnsi="Symbol" w:cs="Symbol"/>
    </w:rPr>
  </w:style>
  <w:style w:type="character" w:styleId="WW8Num62z0">
    <w:name w:val="WW8Num62z0"/>
    <w:qFormat/>
    <w:rPr>
      <w:rFonts w:ascii="Wingdings" w:hAnsi="Wingdings" w:cs="Wingdings"/>
      <w:sz w:val="16"/>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color w:val="auto"/>
      <w:sz w:val="28"/>
    </w:rPr>
  </w:style>
  <w:style w:type="character" w:styleId="WW8Num66z0">
    <w:name w:val="WW8Num66z0"/>
    <w:qFormat/>
    <w:rPr/>
  </w:style>
  <w:style w:type="character" w:styleId="WW8Num67z0">
    <w:name w:val="WW8Num67z0"/>
    <w:qFormat/>
    <w:rPr>
      <w:b/>
      <w:i/>
    </w:rPr>
  </w:style>
  <w:style w:type="character" w:styleId="WW8Num68z0">
    <w:name w:val="WW8Num68z0"/>
    <w:qFormat/>
    <w:rPr>
      <w:rFonts w:ascii="Symbol" w:hAnsi="Symbol" w:cs="Symbol"/>
    </w:rPr>
  </w:style>
  <w:style w:type="character" w:styleId="WW8Num69z0">
    <w:name w:val="WW8Num69z0"/>
    <w:qFormat/>
    <w:rPr>
      <w:rFonts w:ascii="Symbol" w:hAnsi="Symbol" w:cs="Symbol"/>
      <w:color w:val="auto"/>
      <w:sz w:val="28"/>
    </w:rPr>
  </w:style>
  <w:style w:type="character" w:styleId="WW8Num70z0">
    <w:name w:val="WW8Num70z0"/>
    <w:qFormat/>
    <w:rPr>
      <w:rFonts w:ascii="Wingdings" w:hAnsi="Wingdings" w:cs="Wingdings"/>
      <w:color w:val="000000"/>
      <w:sz w:val="16"/>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rFonts w:ascii="Symbol" w:hAnsi="Symbol" w:cs="Symbol"/>
      <w:color w:val="auto"/>
      <w:sz w:val="28"/>
    </w:rPr>
  </w:style>
  <w:style w:type="character" w:styleId="WW8Num93z0">
    <w:name w:val="WW8Num93z0"/>
    <w:qFormat/>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CABC_Conf.dot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2000-09-29T17:19:00Z</dcterms:created>
  <dc:creator>Robert Johnston</dc:creator>
  <dc:description/>
  <dc:language>en-CA</dc:language>
  <cp:lastModifiedBy>rjohnst</cp:lastModifiedBy>
  <cp:lastPrinted>2000-09-29T15:49:00Z</cp:lastPrinted>
  <dcterms:modified xsi:type="dcterms:W3CDTF">2000-09-29T18:33:00Z</dcterms:modified>
  <cp:revision>5</cp:revision>
  <dc:subject/>
  <dc:title>Duke Energy</dc:title>
</cp:coreProperties>
</file>