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Hedge Ratios Revisited (Part 2)</w:t>
      </w:r>
    </w:p>
    <w:p>
      <w:pPr>
        <w:pStyle w:val="Normal"/>
        <w:jc w:val="both"/>
        <w:rPr>
          <w:sz w:val="24"/>
        </w:rPr>
      </w:pPr>
      <w:r>
        <w:rPr>
          <w:sz w:val="24"/>
        </w:rPr>
      </w:r>
    </w:p>
    <w:p>
      <w:pPr>
        <w:pStyle w:val="Normal"/>
        <w:jc w:val="both"/>
        <w:rPr/>
      </w:pPr>
      <w:r>
        <w:rPr>
          <w:sz w:val="24"/>
        </w:rPr>
        <w:t>An article posted a few weeks ago (“Technical Corner”, May 15, 2000) reviewed the theory behind derivation of hedge ratios. There are several important points to keep in mind. One important conclusion is that hedge ratios, in most cases, should be based on regressions of price differences on price differences. The second conclusion is that the coefficient of correlation (or R</w:t>
      </w:r>
      <w:r>
        <w:rPr>
          <w:sz w:val="24"/>
          <w:vertAlign w:val="superscript"/>
        </w:rPr>
        <w:t>2</w:t>
      </w:r>
      <w:r>
        <w:rPr>
          <w:sz w:val="24"/>
        </w:rPr>
        <w:t xml:space="preserve">) is not equal to the hedge ratio. Finally, the optimal hedge ratio is seldom equal to one (except by chance). </w:t>
      </w:r>
    </w:p>
    <w:p>
      <w:pPr>
        <w:pStyle w:val="Normal"/>
        <w:jc w:val="both"/>
        <w:rPr>
          <w:sz w:val="24"/>
        </w:rPr>
      </w:pPr>
      <w:r>
        <w:rPr>
          <w:sz w:val="24"/>
        </w:rPr>
      </w:r>
    </w:p>
    <w:p>
      <w:pPr>
        <w:pStyle w:val="Normal"/>
        <w:jc w:val="both"/>
        <w:rPr>
          <w:sz w:val="24"/>
        </w:rPr>
      </w:pPr>
      <w:r>
        <w:rPr>
          <w:sz w:val="24"/>
        </w:rPr>
        <w:t>As one can infer from the first part of this article (and from an earlier article by Stinson Gibner and Pavel Zadorozhny), the hedge ratio depends on the coefficient of correlation and on the volatilities of the underlying and of the hedge instrument. Suppose the correlation is very high, but one financial instrument or commodity is significantly more volatile than the other. Intuitively, the optimal hedge ratio will be much higher or much lower than one. If the hedging instrument has much higher volatility than the underlying, we need less of it to offset the price variability of the hedged position.</w:t>
      </w:r>
    </w:p>
    <w:p>
      <w:pPr>
        <w:pStyle w:val="Normal"/>
        <w:jc w:val="both"/>
        <w:rPr>
          <w:sz w:val="24"/>
        </w:rPr>
      </w:pPr>
      <w:r>
        <w:rPr>
          <w:sz w:val="24"/>
        </w:rPr>
      </w:r>
    </w:p>
    <w:p>
      <w:pPr>
        <w:pStyle w:val="Normal"/>
        <w:jc w:val="both"/>
        <w:rPr/>
      </w:pPr>
      <w:r>
        <w:rPr>
          <w:sz w:val="24"/>
        </w:rPr>
        <w:t>Quite often, statistical analysis is used in support of hedging decisions in the form of regressions of price levels on price levels. Typically, the correlations (or, equivalently, R</w:t>
      </w:r>
      <w:r>
        <w:rPr>
          <w:sz w:val="24"/>
          <w:vertAlign w:val="superscript"/>
        </w:rPr>
        <w:t xml:space="preserve">2 </w:t>
      </w:r>
      <w:r>
        <w:rPr>
          <w:sz w:val="24"/>
        </w:rPr>
        <w:t xml:space="preserve">s) are very high. The problem is that the time series that display strong time trends tend to be highly correlated, without being related through any causal mechanism. Hedges based on such correlations typically perform very poorly when back tested with the benefit of the hindsight.  Our consistent advice is to use regression of price differences, and not price levels, when one tries to derive the hedge ratio and wants to use the regression tool. </w:t>
      </w:r>
    </w:p>
    <w:p>
      <w:pPr>
        <w:pStyle w:val="Normal"/>
        <w:jc w:val="both"/>
        <w:rPr>
          <w:sz w:val="24"/>
        </w:rPr>
      </w:pPr>
      <w:r>
        <w:rPr>
          <w:sz w:val="24"/>
        </w:rPr>
      </w:r>
    </w:p>
    <w:p>
      <w:pPr>
        <w:pStyle w:val="Normal"/>
        <w:jc w:val="both"/>
        <w:rPr>
          <w:sz w:val="24"/>
        </w:rPr>
      </w:pPr>
      <w:r>
        <w:rPr>
          <w:sz w:val="24"/>
        </w:rPr>
        <w:t>I have to qualify this advice. The good news is that one can use the price levels to determine the hedge ratios. The bad news is that one has to use a different statistical technique than regression. This technique is known as co-integration analysis and is a result of significant progress that took place in  time series analysis over the last 10 years. The technique is still relatively unknown and has not penetrated yet to the level of standard textbooks. It requires mastering several tools from the statistical theory of time series. This and the following technical corner articles will be devoted to explaining this concept.</w:t>
      </w:r>
    </w:p>
    <w:p>
      <w:pPr>
        <w:pStyle w:val="Normal"/>
        <w:jc w:val="both"/>
        <w:rPr>
          <w:sz w:val="24"/>
        </w:rPr>
      </w:pPr>
      <w:r>
        <w:rPr>
          <w:sz w:val="24"/>
        </w:rPr>
      </w:r>
    </w:p>
    <w:p>
      <w:pPr>
        <w:pStyle w:val="Normal"/>
        <w:jc w:val="both"/>
        <w:rPr/>
      </w:pPr>
      <w:r>
        <w:rPr>
          <w:sz w:val="24"/>
        </w:rPr>
        <w:t>The critical concept one has to grasp to understand cointegration is stationarity.  A time series is, intuitively, a set of numbers {y</w:t>
      </w:r>
      <w:r>
        <w:rPr>
          <w:sz w:val="24"/>
          <w:vertAlign w:val="subscript"/>
        </w:rPr>
        <w:t>t</w:t>
      </w:r>
      <w:r>
        <w:rPr>
          <w:sz w:val="24"/>
        </w:rPr>
        <w:t>}, indexed with respect to time. Each of these numbers {y</w:t>
      </w:r>
      <w:r>
        <w:rPr>
          <w:sz w:val="24"/>
          <w:vertAlign w:val="subscript"/>
        </w:rPr>
        <w:t>1</w:t>
      </w:r>
      <w:r>
        <w:rPr>
          <w:sz w:val="24"/>
        </w:rPr>
        <w:t>, y</w:t>
      </w:r>
      <w:r>
        <w:rPr>
          <w:sz w:val="24"/>
          <w:vertAlign w:val="subscript"/>
        </w:rPr>
        <w:t>2</w:t>
      </w:r>
      <w:r>
        <w:rPr>
          <w:sz w:val="24"/>
        </w:rPr>
        <w:t>, … , y</w:t>
      </w:r>
      <w:r>
        <w:rPr>
          <w:sz w:val="24"/>
          <w:vertAlign w:val="subscript"/>
        </w:rPr>
        <w:t>n</w:t>
      </w:r>
      <w:r>
        <w:rPr>
          <w:sz w:val="24"/>
        </w:rPr>
        <w:t xml:space="preserve">} can be thought of as a drawing from certain probability distribution, a realization of certain stochastic process. Each of these probability distributions can be described in terms of mean and variance. In most practical applications we have available just one realization of a given time series. There are infinitely many  possible values of GNP for the US for the third quarter of 1999 but we could observe only one specific outcome. </w:t>
      </w:r>
    </w:p>
    <w:p>
      <w:pPr>
        <w:pStyle w:val="Normal"/>
        <w:jc w:val="both"/>
        <w:rPr>
          <w:sz w:val="24"/>
        </w:rPr>
      </w:pPr>
      <w:r>
        <w:rPr>
          <w:sz w:val="24"/>
        </w:rPr>
      </w:r>
    </w:p>
    <w:p>
      <w:pPr>
        <w:pStyle w:val="Normal"/>
        <w:jc w:val="both"/>
        <w:rPr/>
      </w:pPr>
      <w:r>
        <w:rPr>
          <w:sz w:val="24"/>
        </w:rPr>
        <w:t>If a time series {y</w:t>
      </w:r>
      <w:r>
        <w:rPr>
          <w:sz w:val="24"/>
          <w:vertAlign w:val="subscript"/>
        </w:rPr>
        <w:t>t</w:t>
      </w:r>
      <w:r>
        <w:rPr>
          <w:sz w:val="24"/>
        </w:rPr>
        <w:t>} is stationary, one can estimate its mean, variance and autocorrelations across different time periods from long time averages based on a single set of realization of a stochastic process. To be more specific, a stochastic process with a finite mean and variance is co-variance stationary if, for all t and t-s, the following is true:</w:t>
      </w:r>
    </w:p>
    <w:p>
      <w:pPr>
        <w:pStyle w:val="Normal"/>
        <w:jc w:val="both"/>
        <w:rPr>
          <w:sz w:val="24"/>
        </w:rPr>
      </w:pPr>
      <w:r>
        <w:rPr>
          <w:sz w:val="24"/>
        </w:rPr>
      </w:r>
    </w:p>
    <w:p>
      <w:pPr>
        <w:pStyle w:val="Normal"/>
        <w:numPr>
          <w:ilvl w:val="0"/>
          <w:numId w:val="2"/>
        </w:numPr>
        <w:jc w:val="both"/>
        <w:rPr>
          <w:sz w:val="24"/>
        </w:rPr>
      </w:pPr>
      <w:r>
        <w:rPr>
          <w:sz w:val="24"/>
        </w:rPr>
        <w:t>E(y</w:t>
      </w:r>
      <w:r>
        <w:rPr>
          <w:sz w:val="24"/>
          <w:vertAlign w:val="subscript"/>
        </w:rPr>
        <w:t>t</w:t>
      </w:r>
      <w:r>
        <w:rPr>
          <w:sz w:val="24"/>
        </w:rPr>
        <w:t>) = E(y</w:t>
      </w:r>
      <w:r>
        <w:rPr>
          <w:sz w:val="24"/>
          <w:vertAlign w:val="subscript"/>
        </w:rPr>
        <w:t>t-s</w:t>
      </w:r>
      <w:r>
        <w:rPr>
          <w:sz w:val="24"/>
        </w:rPr>
        <w:t xml:space="preserve">) = </w:t>
      </w:r>
      <w:r>
        <w:rPr>
          <w:rFonts w:eastAsia="Symbol" w:cs="Symbol" w:ascii="Symbol" w:hAnsi="Symbol"/>
          <w:sz w:val="24"/>
        </w:rPr>
        <w:sym w:font="Symbol" w:char="f06d"/>
      </w:r>
    </w:p>
    <w:p>
      <w:pPr>
        <w:pStyle w:val="Normal"/>
        <w:numPr>
          <w:ilvl w:val="0"/>
          <w:numId w:val="2"/>
        </w:numPr>
        <w:jc w:val="both"/>
        <w:rPr>
          <w:sz w:val="24"/>
        </w:rPr>
      </w:pPr>
      <w:r>
        <w:rPr>
          <w:sz w:val="24"/>
        </w:rPr>
        <w:t>E[(y</w:t>
      </w:r>
      <w:r>
        <w:rPr>
          <w:sz w:val="24"/>
          <w:vertAlign w:val="subscript"/>
        </w:rPr>
        <w:t xml:space="preserve">t </w:t>
      </w:r>
      <w:r>
        <w:rPr>
          <w:sz w:val="24"/>
        </w:rPr>
        <w:t xml:space="preserve">- </w:t>
      </w:r>
      <w:r>
        <w:rPr>
          <w:rFonts w:eastAsia="Symbol" w:cs="Symbol" w:ascii="Symbol" w:hAnsi="Symbol"/>
          <w:sz w:val="24"/>
        </w:rPr>
        <w:sym w:font="Symbol" w:char="f06d"/>
      </w:r>
      <w:r>
        <w:rPr>
          <w:sz w:val="24"/>
        </w:rPr>
        <w:t>)</w:t>
      </w:r>
      <w:r>
        <w:rPr>
          <w:sz w:val="24"/>
          <w:vertAlign w:val="superscript"/>
        </w:rPr>
        <w:t>2</w:t>
      </w:r>
      <w:r>
        <w:rPr>
          <w:sz w:val="24"/>
        </w:rPr>
        <w:t>]= E[(y</w:t>
      </w:r>
      <w:r>
        <w:rPr>
          <w:sz w:val="24"/>
          <w:vertAlign w:val="subscript"/>
        </w:rPr>
        <w:t xml:space="preserve">t-s </w:t>
      </w:r>
      <w:r>
        <w:rPr>
          <w:sz w:val="24"/>
        </w:rPr>
        <w:t xml:space="preserve">- </w:t>
      </w:r>
      <w:r>
        <w:rPr>
          <w:rFonts w:eastAsia="Symbol" w:cs="Symbol" w:ascii="Symbol" w:hAnsi="Symbol"/>
          <w:sz w:val="24"/>
        </w:rPr>
        <w:sym w:font="Symbol" w:char="f06d"/>
      </w:r>
      <w:r>
        <w:rPr>
          <w:sz w:val="24"/>
        </w:rPr>
        <w:t>)</w:t>
      </w:r>
      <w:r>
        <w:rPr>
          <w:sz w:val="24"/>
          <w:vertAlign w:val="superscript"/>
        </w:rPr>
        <w:t>2</w:t>
      </w:r>
      <w:r>
        <w:rPr>
          <w:sz w:val="24"/>
        </w:rPr>
        <w:t xml:space="preserve">] = </w:t>
      </w:r>
      <w:r>
        <w:rPr>
          <w:rFonts w:eastAsia="Symbol" w:cs="Symbol" w:ascii="Symbol" w:hAnsi="Symbol"/>
          <w:sz w:val="24"/>
        </w:rPr>
        <w:sym w:font="Symbol" w:char="f073"/>
      </w:r>
      <w:r>
        <w:rPr>
          <w:sz w:val="24"/>
          <w:vertAlign w:val="superscript"/>
        </w:rPr>
        <w:t>2</w:t>
      </w:r>
      <w:r>
        <w:rPr>
          <w:sz w:val="24"/>
          <w:vertAlign w:val="subscript"/>
        </w:rPr>
        <w:t>y</w:t>
      </w:r>
    </w:p>
    <w:p>
      <w:pPr>
        <w:pStyle w:val="Normal"/>
        <w:numPr>
          <w:ilvl w:val="0"/>
          <w:numId w:val="2"/>
        </w:numPr>
        <w:jc w:val="both"/>
        <w:rPr>
          <w:sz w:val="24"/>
        </w:rPr>
      </w:pPr>
      <w:r>
        <w:rPr>
          <w:sz w:val="24"/>
        </w:rPr>
        <w:t>E[(y</w:t>
      </w:r>
      <w:r>
        <w:rPr>
          <w:sz w:val="24"/>
          <w:vertAlign w:val="subscript"/>
        </w:rPr>
        <w:t xml:space="preserve">t </w:t>
      </w:r>
      <w:r>
        <w:rPr>
          <w:sz w:val="24"/>
        </w:rPr>
        <w:t xml:space="preserve">- </w:t>
      </w:r>
      <w:r>
        <w:rPr>
          <w:rFonts w:eastAsia="Symbol" w:cs="Symbol" w:ascii="Symbol" w:hAnsi="Symbol"/>
          <w:sz w:val="24"/>
        </w:rPr>
        <w:sym w:font="Symbol" w:char="f06d"/>
      </w:r>
      <w:r>
        <w:rPr>
          <w:sz w:val="24"/>
        </w:rPr>
        <w:t>)(y</w:t>
      </w:r>
      <w:r>
        <w:rPr>
          <w:sz w:val="24"/>
          <w:vertAlign w:val="subscript"/>
        </w:rPr>
        <w:t xml:space="preserve">t-s </w:t>
      </w:r>
      <w:r>
        <w:rPr>
          <w:sz w:val="24"/>
        </w:rPr>
        <w:t xml:space="preserve">- </w:t>
      </w:r>
      <w:r>
        <w:rPr>
          <w:rFonts w:eastAsia="Symbol" w:cs="Symbol" w:ascii="Symbol" w:hAnsi="Symbol"/>
          <w:sz w:val="24"/>
        </w:rPr>
        <w:sym w:font="Symbol" w:char="f06d"/>
      </w:r>
      <w:r>
        <w:rPr>
          <w:sz w:val="24"/>
        </w:rPr>
        <w:t>)] = E[(y</w:t>
      </w:r>
      <w:r>
        <w:rPr>
          <w:sz w:val="24"/>
          <w:vertAlign w:val="subscript"/>
        </w:rPr>
        <w:t xml:space="preserve">t-j </w:t>
      </w:r>
      <w:r>
        <w:rPr>
          <w:sz w:val="24"/>
        </w:rPr>
        <w:t xml:space="preserve">- </w:t>
      </w:r>
      <w:r>
        <w:rPr>
          <w:rFonts w:eastAsia="Symbol" w:cs="Symbol" w:ascii="Symbol" w:hAnsi="Symbol"/>
          <w:sz w:val="24"/>
        </w:rPr>
        <w:sym w:font="Symbol" w:char="f06d"/>
      </w:r>
      <w:r>
        <w:rPr>
          <w:sz w:val="24"/>
        </w:rPr>
        <w:t>)(y</w:t>
      </w:r>
      <w:r>
        <w:rPr>
          <w:sz w:val="24"/>
          <w:vertAlign w:val="subscript"/>
        </w:rPr>
        <w:t xml:space="preserve">t-j-s </w:t>
      </w:r>
      <w:r>
        <w:rPr>
          <w:sz w:val="24"/>
        </w:rPr>
        <w:t xml:space="preserve">- </w:t>
      </w:r>
      <w:r>
        <w:rPr>
          <w:rFonts w:eastAsia="Symbol" w:cs="Symbol" w:ascii="Symbol" w:hAnsi="Symbol"/>
          <w:sz w:val="24"/>
        </w:rPr>
        <w:sym w:font="Symbol" w:char="f06d"/>
      </w:r>
      <w:r>
        <w:rPr>
          <w:sz w:val="24"/>
        </w:rPr>
        <w:t xml:space="preserve">)] = </w:t>
      </w:r>
      <w:r>
        <w:rPr>
          <w:rFonts w:eastAsia="Symbol" w:cs="Symbol" w:ascii="Symbol" w:hAnsi="Symbol"/>
          <w:sz w:val="24"/>
        </w:rPr>
        <w:sym w:font="Symbol" w:char="f067"/>
      </w:r>
      <w:r>
        <w:rPr>
          <w:sz w:val="24"/>
        </w:rPr>
        <w:t>s</w:t>
      </w:r>
    </w:p>
    <w:p>
      <w:pPr>
        <w:pStyle w:val="Normal"/>
        <w:ind w:start="360" w:end="0"/>
        <w:jc w:val="both"/>
        <w:rPr>
          <w:sz w:val="24"/>
        </w:rPr>
      </w:pPr>
      <w:r>
        <w:rPr>
          <w:sz w:val="24"/>
        </w:rPr>
      </w:r>
    </w:p>
    <w:p>
      <w:pPr>
        <w:pStyle w:val="Normal"/>
        <w:jc w:val="both"/>
        <w:rPr/>
      </w:pPr>
      <w:r>
        <w:rPr>
          <w:sz w:val="24"/>
        </w:rPr>
        <w:t>The symbol E above stands for the unconditional mathematical expectation. E(y) is the mean of a distribution. E[(y-E(y))</w:t>
      </w:r>
      <w:r>
        <w:rPr>
          <w:sz w:val="24"/>
          <w:vertAlign w:val="superscript"/>
        </w:rPr>
        <w:t>2</w:t>
      </w:r>
      <w:r>
        <w:rPr>
          <w:sz w:val="24"/>
        </w:rPr>
        <w:t>] is the variance of a distribution. The interpretation of these conditions is straightforward. The conditions (1) and (2) mean that each random variable y is drawn from a probability distribution with the same mean (condition (1)) and variance (condition (2)), for each time period. In practical terms, we expect the time series to fluctuate around a common mean. If a graph of a time series shifts at one point to a much higher (or much lower) level and stays there, we can reasonably suspect that the time-series is not stationary. Condition (3) requires that the covariance between two periods be the same, if they are separated by the same time interval.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2000-07-10T10:35:00Z</dcterms:created>
  <dc:creator>Vince Kaminski</dc:creator>
  <dc:description/>
  <dc:language>en-CA</dc:language>
  <cp:lastModifiedBy>vkamins</cp:lastModifiedBy>
  <cp:lastPrinted>2000-07-10T09:38:00Z</cp:lastPrinted>
  <dcterms:modified xsi:type="dcterms:W3CDTF">2000-07-10T12:37:00Z</dcterms:modified>
  <cp:revision>13</cp:revision>
  <dc:subject/>
  <dc:title>Hedge Ratios Revisited</dc:title>
</cp:coreProperties>
</file>