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t>Who Hedges and Why?</w:t>
      </w:r>
    </w:p>
    <w:p>
      <w:pPr>
        <w:pStyle w:val="Normal"/>
        <w:jc w:val="both"/>
        <w:rPr>
          <w:b/>
        </w:rPr>
      </w:pPr>
      <w:r>
        <w:rPr>
          <w:b/>
        </w:rPr>
      </w:r>
    </w:p>
    <w:p>
      <w:pPr>
        <w:pStyle w:val="BodyText"/>
        <w:rPr/>
      </w:pPr>
      <w:r>
        <w:rPr/>
        <w:t>Surprising as it may sound, corporate finance theory does not offer a good explanation why a company should use risk management. As a matter of fact, Modigliani and Miller (1958) presented a view that in perfect financial markets, with no taxes and transaction costs, under the conditions of full information, hedging makes no sense. An investor can manage the risks of a diversified portfolio by putting on his own hedges, depending on his appetite for risk.</w:t>
      </w:r>
    </w:p>
    <w:p>
      <w:pPr>
        <w:pStyle w:val="Normal"/>
        <w:jc w:val="both"/>
        <w:rPr/>
      </w:pPr>
      <w:r>
        <w:rPr/>
      </w:r>
    </w:p>
    <w:p>
      <w:pPr>
        <w:pStyle w:val="Normal"/>
        <w:jc w:val="both"/>
        <w:rPr/>
      </w:pPr>
      <w:r>
        <w:rPr/>
        <w:t>Many companies hedge their risks anyway. Several economists came up with a number of alternative explanations to justify the practice of hedging. Froot, Scharfstein and Stein (1993) explain hedging as a way to expand the range of profitable investment opportunities: the companies that engage in risk management have more stable cash flows  and when attractive investments become available they can pursue them, without depending on external financing that may be difficult to obtain or excessively costly. Smith and Stultz (1985) contend that risk management reduces the expected cost of bankruptcy by reducing the probability of financial distress. Other explanations include tax argument. Under the conditions of progressive taxation, companies with stable earning incur lower tax liabilities by avoiding swinging back and forth from very low to very high tax rates. One should not also forget reduction in managers’ personal risk exposure due to hedging.</w:t>
      </w:r>
    </w:p>
    <w:p>
      <w:pPr>
        <w:pStyle w:val="Normal"/>
        <w:jc w:val="both"/>
        <w:rPr/>
      </w:pPr>
      <w:r>
        <w:rPr/>
      </w:r>
    </w:p>
    <w:p>
      <w:pPr>
        <w:pStyle w:val="Normal"/>
        <w:jc w:val="both"/>
        <w:rPr/>
      </w:pPr>
      <w:r>
        <w:rPr/>
        <w:t xml:space="preserve">G. David Haushalter (“Financing Policy, Basis Risk and Corporate Hedging: Evidence from Oil and Gas Companies,” </w:t>
      </w:r>
      <w:r>
        <w:rPr>
          <w:i/>
        </w:rPr>
        <w:t>Journal of Finance</w:t>
      </w:r>
      <w:r>
        <w:rPr/>
        <w:t xml:space="preserve">, Vol. LV, No. 1, February 2000, pp. 107 – 152) takes an empirical track. The author examined hedging practices of 100 oil and gas companies between 1992 and 1994. The study established a number of interesting regularities. First, there is a positive relationship between the extent to which a company hedges and its financial leverage. This lends support to  the argument that hedging is intended to reduce the cost of borrowing. Second, the author finds  that the proportion of output that is hedged is related inversely to the basis risk. This risk is measured by “the fraction of production located in the regions where prices are highly correlated with the prices on which exchange-traded derivative instruments are based.” </w:t>
      </w:r>
    </w:p>
    <w:p>
      <w:pPr>
        <w:pStyle w:val="Normal"/>
        <w:jc w:val="both"/>
        <w:rPr/>
      </w:pPr>
      <w:r>
        <w:rPr/>
      </w:r>
    </w:p>
    <w:p>
      <w:pPr>
        <w:pStyle w:val="Normal"/>
        <w:jc w:val="both"/>
        <w:rPr/>
      </w:pPr>
      <w:r>
        <w:rPr/>
        <w:t xml:space="preserve">Another interesting conclusion is that the extent of hedging varies inversely with the number of options held by officers and directors. Executives rewarded richly with options are interested in increasing their value and the value of options varies positively with the volatility of stock prices. This is consistent with empirical evidence recorded by Tufano in 1996. There is, however, no evidence that increase in the degree of managerial stock ownership increases the extent of hedging, as predicted by some  theoretical papers. This may have been a result of including  </w:t>
      </w:r>
      <w:r>
        <w:rPr>
          <w:i/>
        </w:rPr>
        <w:t>Louis Dreyfus Natural Gas</w:t>
      </w:r>
      <w:r>
        <w:rPr/>
        <w:t xml:space="preserve"> in the sample. The company has a policy of hedging extensively in the long run, and has relatively low managerial ownership, due to its European roots.</w:t>
      </w:r>
    </w:p>
    <w:p>
      <w:pPr>
        <w:pStyle w:val="Normal"/>
        <w:jc w:val="both"/>
        <w:rPr/>
      </w:pPr>
      <w:r>
        <w:rPr/>
      </w:r>
    </w:p>
    <w:p>
      <w:pPr>
        <w:pStyle w:val="Normal"/>
        <w:jc w:val="both"/>
        <w:rPr/>
      </w:pPr>
      <w:r>
        <w:rPr/>
        <w:t>Enron is a provider of risk management tools to the energy industry. To market our products to the customers we have to understand what makes them tick and what may their motivation be for, or against, hedging. The paper quoted above provides a wealth of information that is highly relevant to the energy industry. Please, contact the Research Group for more information or for a copy of the paper.</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2000-04-24T10:13:00Z</dcterms:created>
  <dc:creator>Vince Kaminski</dc:creator>
  <dc:description/>
  <dc:language>en-CA</dc:language>
  <cp:lastModifiedBy>vkamins</cp:lastModifiedBy>
  <dcterms:modified xsi:type="dcterms:W3CDTF">2000-04-24T10:17:00Z</dcterms:modified>
  <cp:revision>6</cp:revision>
  <dc:subject/>
  <dc:title>Who hedges</dc:title>
</cp:coreProperties>
</file>