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  <w:t>Enron Government Affairs – The Americas</w:t>
      </w:r>
    </w:p>
    <w:p>
      <w:pPr>
        <w:pStyle w:val="Normal"/>
        <w:jc w:val="center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  <w:t>Headcount Project for Richard Shapiro</w:t>
      </w:r>
    </w:p>
    <w:p>
      <w:pPr>
        <w:pStyle w:val="Normal"/>
        <w:jc w:val="center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  <w:t>April 5, 2001</w:t>
      </w:r>
    </w:p>
    <w:p>
      <w:pPr>
        <w:pStyle w:val="Normal"/>
        <w:jc w:val="both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Normal"/>
        <w:jc w:val="both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Heading1"/>
        <w:ind w:hanging="0" w:start="0"/>
        <w:rPr/>
      </w:pPr>
      <w:r>
        <w:rPr/>
        <w:t>Cost Center 100072 – Jean Ryall</w:t>
      </w:r>
    </w:p>
    <w:p>
      <w:pPr>
        <w:pStyle w:val="Normal"/>
        <w:jc w:val="both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Normal"/>
        <w:jc w:val="both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  <w:t>Jean Ryall – Sr. Director</w:t>
      </w:r>
    </w:p>
    <w:p>
      <w:pPr>
        <w:pStyle w:val="Normal"/>
        <w:jc w:val="both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  <w:t>Michelle Garcia – Assistant</w:t>
      </w:r>
    </w:p>
    <w:p>
      <w:pPr>
        <w:pStyle w:val="Normal"/>
        <w:jc w:val="both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  <w:t>Chad Landry – Analyst</w:t>
      </w:r>
    </w:p>
    <w:p>
      <w:pPr>
        <w:pStyle w:val="Normal"/>
        <w:jc w:val="both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  <w:t>Joe Allen – Vice President</w:t>
      </w:r>
    </w:p>
    <w:p>
      <w:pPr>
        <w:pStyle w:val="Normal"/>
        <w:jc w:val="both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  <w:t>Geriann Warner – Assistant</w:t>
      </w:r>
    </w:p>
    <w:p>
      <w:pPr>
        <w:pStyle w:val="Normal"/>
        <w:jc w:val="both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Normal"/>
        <w:jc w:val="both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  <w:t>Current headcount is 5 full time employees.</w:t>
      </w:r>
    </w:p>
    <w:p>
      <w:pPr>
        <w:pStyle w:val="Normal"/>
        <w:jc w:val="both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  <w:t>Anticipated headcount at the end of 2001 is 6 full time employees.</w:t>
      </w:r>
    </w:p>
    <w:p>
      <w:pPr>
        <w:pStyle w:val="Normal"/>
        <w:jc w:val="both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Normal"/>
        <w:jc w:val="both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Normal"/>
        <w:jc w:val="both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Verdana" w:hAnsi="Verdana" w:cs="Verdana"/>
      <w:b/>
      <w:bCs/>
      <w:sz w:val="22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2001-04-05T20:06:00Z</dcterms:created>
  <dc:creator>eric benson</dc:creator>
  <dc:description/>
  <dc:language>en-CA</dc:language>
  <cp:lastModifiedBy>eric benson</cp:lastModifiedBy>
  <dcterms:modified xsi:type="dcterms:W3CDTF">2001-04-05T20:42:00Z</dcterms:modified>
  <cp:revision>3</cp:revision>
  <dc:subject/>
  <dc:title>Enron Government Affairs – The Americas</dc:title>
</cp:coreProperties>
</file>