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7200" w:leader="none"/>
        </w:tabs>
        <w:rPr>
          <w:sz w:val="48"/>
        </w:rPr>
      </w:pPr>
      <w:r>
        <w:rPr>
          <w:sz w:val="48"/>
        </w:rPr>
        <w:drawing>
          <wp:inline distT="0" distB="0" distL="0" distR="0">
            <wp:extent cx="995680" cy="100584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1005840"/>
                    </a:xfrm>
                    <a:prstGeom prst="rect">
                      <a:avLst/>
                    </a:prstGeom>
                    <a:noFill/>
                  </pic:spPr>
                </pic:pic>
              </a:graphicData>
            </a:graphic>
          </wp:inline>
        </w:drawing>
      </w:r>
    </w:p>
    <w:p>
      <w:pPr>
        <w:pStyle w:val="Normal"/>
        <w:tabs>
          <w:tab w:val="clear" w:pos="720"/>
          <w:tab w:val="left" w:pos="7200" w:leader="none"/>
        </w:tabs>
        <w:jc w:val="end"/>
        <w:rPr>
          <w:b/>
        </w:rPr>
      </w:pPr>
      <w:r>
        <w:rPr>
          <w:b/>
        </w:rPr>
        <w:t>PRIVILEGED ANDCONFIDENTIAL</w:t>
      </w:r>
    </w:p>
    <w:p>
      <w:pPr>
        <w:pStyle w:val="Normal"/>
        <w:tabs>
          <w:tab w:val="clear" w:pos="720"/>
          <w:tab w:val="left" w:pos="5490" w:leader="none"/>
        </w:tabs>
        <w:jc w:val="end"/>
        <w:rPr/>
      </w:pPr>
      <w:r>
        <w:rPr>
          <w:sz w:val="48"/>
        </w:rPr>
        <w:tab/>
      </w:r>
      <w:r>
        <w:rPr>
          <w:b/>
        </w:rPr>
        <w:t>ATTORNEY WORK PRODUCT</w:t>
      </w:r>
    </w:p>
    <w:p>
      <w:pPr>
        <w:pStyle w:val="Normal"/>
        <w:pBdr>
          <w:top w:val="single" w:sz="12" w:space="1" w:color="000000"/>
        </w:pBdr>
        <w:tabs>
          <w:tab w:val="clear" w:pos="720"/>
          <w:tab w:val="left" w:pos="1530" w:leader="none"/>
          <w:tab w:val="left" w:pos="6030" w:leader="none"/>
          <w:tab w:val="right" w:pos="9000" w:leader="none"/>
        </w:tabs>
        <w:spacing w:before="120" w:after="0"/>
        <w:ind w:end="-90"/>
        <w:rPr/>
      </w:pPr>
      <w:r>
        <w:rPr>
          <w:b/>
        </w:rPr>
        <w:t>TO:</w:t>
      </w:r>
      <w:r>
        <w:rPr/>
        <w:tab/>
        <w:t>Mark Haedicke</w:t>
        <w:tab/>
      </w:r>
      <w:r>
        <w:rPr>
          <w:b/>
          <w:bCs/>
        </w:rPr>
        <w:t xml:space="preserve">DATE:  </w:t>
      </w:r>
      <w:r>
        <w:rPr/>
        <w:t>March 13, 2001</w:t>
      </w:r>
    </w:p>
    <w:p>
      <w:pPr>
        <w:pStyle w:val="Normal"/>
        <w:pBdr>
          <w:top w:val="single" w:sz="12" w:space="1" w:color="000000"/>
        </w:pBdr>
        <w:tabs>
          <w:tab w:val="clear" w:pos="720"/>
          <w:tab w:val="left" w:pos="1530" w:leader="none"/>
          <w:tab w:val="right" w:pos="9000" w:leader="none"/>
        </w:tabs>
        <w:spacing w:before="120" w:after="0"/>
        <w:ind w:end="-90"/>
        <w:rPr/>
      </w:pPr>
      <w:r>
        <w:rPr/>
        <w:tab/>
        <w:t>Lance Schuler</w:t>
        <w:tab/>
        <w:br/>
        <w:tab/>
      </w:r>
    </w:p>
    <w:p>
      <w:pPr>
        <w:pStyle w:val="Normal"/>
        <w:pBdr>
          <w:top w:val="single" w:sz="12" w:space="1" w:color="000000"/>
        </w:pBdr>
        <w:tabs>
          <w:tab w:val="clear" w:pos="720"/>
          <w:tab w:val="left" w:pos="1530" w:leader="none"/>
          <w:tab w:val="right" w:pos="9000" w:leader="none"/>
        </w:tabs>
        <w:spacing w:before="120" w:after="0"/>
        <w:ind w:end="-90"/>
        <w:rPr/>
      </w:pPr>
      <w:r>
        <w:rPr>
          <w:b/>
        </w:rPr>
        <w:t>FROM:</w:t>
      </w:r>
      <w:r>
        <w:rPr/>
        <w:tab/>
        <w:t>Angela D. Davis</w:t>
        <w:tab/>
      </w:r>
      <w:r>
        <w:rPr>
          <w:b/>
        </w:rPr>
        <w:t xml:space="preserve">DEPARTMENT:  </w:t>
      </w:r>
      <w:r>
        <w:rPr/>
        <w:t>ENA</w:t>
      </w:r>
      <w:r>
        <w:rPr>
          <w:b/>
        </w:rPr>
        <w:t xml:space="preserve"> </w:t>
      </w:r>
      <w:r>
        <w:rPr/>
        <w:t>Legal</w:t>
      </w:r>
    </w:p>
    <w:p>
      <w:pPr>
        <w:pStyle w:val="Normal"/>
        <w:pBdr>
          <w:bottom w:val="single" w:sz="12" w:space="1" w:color="000000"/>
        </w:pBdr>
        <w:tabs>
          <w:tab w:val="left" w:pos="720" w:leader="none"/>
          <w:tab w:val="left" w:pos="1530" w:leader="none"/>
          <w:tab w:val="left" w:pos="5040" w:leader="none"/>
          <w:tab w:val="left" w:pos="6480" w:leader="none"/>
        </w:tabs>
        <w:spacing w:before="120" w:after="0"/>
        <w:ind w:hanging="1530" w:start="1530" w:end="0"/>
        <w:rPr/>
      </w:pPr>
      <w:r>
        <w:rPr>
          <w:b/>
        </w:rPr>
        <w:t>SUBJECT:</w:t>
      </w:r>
      <w:r>
        <w:rPr/>
        <w:tab/>
        <w:t>Hanover Compressor Company (the “Company”)</w:t>
      </w:r>
    </w:p>
    <w:p>
      <w:pPr>
        <w:pStyle w:val="Normal"/>
        <w:pBdr>
          <w:bottom w:val="single" w:sz="12" w:space="1" w:color="000000"/>
        </w:pBdr>
        <w:tabs>
          <w:tab w:val="left" w:pos="720" w:leader="none"/>
          <w:tab w:val="left" w:pos="1530" w:leader="none"/>
          <w:tab w:val="left" w:pos="2160" w:leader="none"/>
          <w:tab w:val="left" w:pos="5040" w:leader="none"/>
          <w:tab w:val="left" w:pos="6480" w:leader="none"/>
        </w:tabs>
        <w:spacing w:before="120" w:after="0"/>
        <w:ind w:hanging="1530" w:start="1530" w:end="0"/>
        <w:rPr/>
      </w:pPr>
      <w:r>
        <w:rPr>
          <w:b/>
        </w:rPr>
        <w:t>RISK FACTOR:</w:t>
        <w:tab/>
      </w:r>
      <w:r>
        <w:rPr>
          <w:bCs/>
        </w:rPr>
        <w:t>2</w:t>
      </w:r>
      <w:r>
        <w:rPr>
          <w:rStyle w:val="FootnoteCharacters"/>
          <w:rStyle w:val="FootnoteReference"/>
          <w:bCs/>
        </w:rPr>
        <w:footnoteReference w:id="2"/>
      </w:r>
      <w:r>
        <w:rPr>
          <w:bCs/>
        </w:rPr>
        <w:t xml:space="preserve"> </w:t>
      </w:r>
    </w:p>
    <w:p>
      <w:pPr>
        <w:pStyle w:val="Normal"/>
        <w:jc w:val="both"/>
        <w:rPr/>
      </w:pPr>
      <w:r>
        <w:rPr/>
        <w:tab/>
      </w:r>
    </w:p>
    <w:p>
      <w:pPr>
        <w:pStyle w:val="Normal"/>
        <w:jc w:val="both"/>
        <w:rPr/>
      </w:pPr>
      <w:r>
        <w:rPr/>
        <w:tab/>
        <w:t>This is a supplement to the legal risk memo dated February 20, 2001.  At that time, the underwriting agreement provided that Joint Energy Development Investments Limited Partnership (“JEDI”) could not sell any shares of the Company’s common stock or any security deriving its value from such stock (“Shares”), other than Shares subject to the secondary offering, for 120 days following the date of the prospectus for the secondary offering (the “Lock Up Period”).  An exception to the Lock Up Period has been obtained which would allow JEDI to transfer Shares no more than four times, provided that at least three of such transfers are to entities in which Enron Corp., or a majority owned subsidiary of Enron Corp. (collectively, “Enron”), directly or indirectly, owns a majority of the voting stock or total equity and, no more than one of such transfers is to an entity in which Enron has only a business relationship (no ownership interest).</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t>cc:  Richard A. Lydecker, Jr.</w:t>
      </w:r>
    </w:p>
    <w:p>
      <w:pPr>
        <w:pStyle w:val="Normal"/>
        <w:jc w:val="both"/>
        <w:rPr/>
      </w:pPr>
      <w:r>
        <w:rPr/>
        <w:t xml:space="preserve">       </w:t>
      </w:r>
      <w:r>
        <w:rPr/>
        <w:t>John J. Lavorato</w:t>
      </w:r>
    </w:p>
    <w:sectPr>
      <w:headerReference w:type="default" r:id="rId3"/>
      <w:headerReference w:type="first" r:id="rId4"/>
      <w:footerReference w:type="default" r:id="rId5"/>
      <w:footerReference w:type="first" r:id="rId6"/>
      <w:footnotePr>
        <w:numFmt w:val="decimal"/>
      </w:footnotePr>
      <w:type w:val="nextPage"/>
      <w:pgSz w:w="12240" w:h="15840"/>
      <w:pgMar w:left="1440" w:right="1440" w:gutter="0" w:header="576" w:top="1440" w:footer="432" w:bottom="1008"/>
      <w:pgNumType w:start="2"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4"/>
      </w:rPr>
    </w:pPr>
    <w:r>
      <w:rPr>
        <w:sz w:val="14"/>
      </w:rPr>
      <w:t>2</w:t>
    </w:r>
  </w:p>
  <w:p>
    <w:pPr>
      <w:pStyle w:val="Footer"/>
      <w:rPr>
        <w:sz w:val="14"/>
      </w:rPr>
    </w:pPr>
    <w:r>
      <w:rPr>
        <w:sz w:val="14"/>
      </w:rPr>
    </w:r>
  </w:p>
  <w:p>
    <w:pPr>
      <w:pStyle w:val="Footer"/>
      <w:rPr>
        <w:sz w:val="14"/>
      </w:rPr>
    </w:pPr>
    <w:r>
      <w:rPr>
        <w:sz w:val="14"/>
      </w:rPr>
    </w:r>
  </w:p>
  <w:p>
    <w:pPr>
      <w:pStyle w:val="Footer"/>
      <w:rPr>
        <w:sz w:val="14"/>
      </w:rPr>
    </w:pPr>
    <w:r>
      <w:rPr>
        <w:sz w:val="14"/>
      </w:rPr>
      <w:fldChar w:fldCharType="begin"/>
    </w:r>
    <w:r>
      <w:rPr>
        <w:sz w:val="14"/>
      </w:rPr>
      <w:instrText xml:space="preserve"> FILENAME \p </w:instrText>
    </w:r>
    <w:r>
      <w:rPr>
        <w:sz w:val="14"/>
      </w:rPr>
      <w:fldChar w:fldCharType="separate"/>
    </w:r>
    <w:r>
      <w:rPr>
        <w:sz w:val="14"/>
      </w:rPr>
      <w:t>/mnt/main-storage/datasets/enron-docs/doc/hanoverriskmemo4supp.doc</w:t>
    </w:r>
    <w:r>
      <w:rPr>
        <w:sz w:val="14"/>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Based on a scale of 1-5 with 5 as the riskiest.</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5580" w:leader="none"/>
      </w:tabs>
      <w:rPr>
        <w:sz w:val="20"/>
      </w:rPr>
    </w:pPr>
    <w:r>
      <w:rPr>
        <w:sz w:val="20"/>
      </w:rPr>
    </w:r>
  </w:p>
  <w:p>
    <w:pPr>
      <w:pStyle w:val="Header"/>
      <w:tabs>
        <w:tab w:val="clear" w:pos="8640"/>
        <w:tab w:val="center" w:pos="4320" w:leader="none"/>
        <w:tab w:val="right" w:pos="5580" w:leader="none"/>
      </w:tabs>
      <w:rPr>
        <w:sz w:val="20"/>
      </w:rPr>
    </w:pPr>
    <w:r>
      <w:rPr>
        <w:sz w:val="20"/>
      </w:rPr>
    </w:r>
  </w:p>
  <w:p>
    <w:pPr>
      <w:pStyle w:val="Header"/>
      <w:tabs>
        <w:tab w:val="clear" w:pos="8640"/>
        <w:tab w:val="center" w:pos="4320" w:leader="none"/>
        <w:tab w:val="right" w:pos="5580" w:leader="none"/>
      </w:tabs>
      <w:rPr/>
    </w:pPr>
    <w:r>
      <w:rPr/>
    </w:r>
  </w:p>
  <w:p>
    <w:pPr>
      <w:pStyle w:val="Header"/>
      <w:tabs>
        <w:tab w:val="clear" w:pos="8640"/>
        <w:tab w:val="center" w:pos="4320" w:leader="none"/>
        <w:tab w:val="right" w:pos="5580" w:leader="none"/>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szCs w:val="24"/>
      <w:u w:val="single"/>
    </w:rPr>
  </w:style>
  <w:style w:type="paragraph" w:styleId="Heading2">
    <w:name w:val="heading 2"/>
    <w:basedOn w:val="Normal"/>
    <w:next w:val="Normal"/>
    <w:qFormat/>
    <w:pPr>
      <w:keepNext w:val="true"/>
      <w:numPr>
        <w:ilvl w:val="1"/>
        <w:numId w:val="1"/>
      </w:numPr>
      <w:jc w:val="both"/>
      <w:outlineLvl w:val="1"/>
    </w:pPr>
    <w:rPr>
      <w:b/>
      <w:bCs/>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720" w:leader="none"/>
        <w:tab w:val="left" w:pos="1530" w:leader="none"/>
        <w:tab w:val="left" w:pos="5040" w:leader="none"/>
        <w:tab w:val="left" w:pos="6480" w:leader="none"/>
      </w:tabs>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keepNext w:val="true"/>
      <w:tabs>
        <w:tab w:val="clear" w:pos="720"/>
        <w:tab w:val="right" w:pos="8640" w:leader="dot"/>
      </w:tabs>
      <w:spacing w:before="120" w:after="120"/>
      <w:jc w:val="center"/>
    </w:pPr>
    <w:rPr>
      <w:rFonts w:ascii="Times" w:hAnsi="Times" w:cs="Times"/>
      <w:b/>
    </w:rPr>
  </w:style>
  <w:style w:type="paragraph" w:styleId="TOC2">
    <w:name w:val="toc 2"/>
    <w:basedOn w:val="Normal"/>
    <w:next w:val="Normal"/>
    <w:pPr>
      <w:tabs>
        <w:tab w:val="clear" w:pos="720"/>
        <w:tab w:val="right" w:pos="8640" w:leader="dot"/>
      </w:tabs>
    </w:pPr>
    <w:rPr>
      <w:color w:val="00008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1080" w:end="0"/>
      <w:jc w:val="both"/>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notes" Target="footnotes.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2001-03-13T11:58:00Z</dcterms:created>
  <dc:creator>ECT</dc:creator>
  <dc:description/>
  <dc:language>en-CA</dc:language>
  <cp:lastModifiedBy>adavis4</cp:lastModifiedBy>
  <cp:lastPrinted>2001-03-13T09:14:00Z</cp:lastPrinted>
  <dcterms:modified xsi:type="dcterms:W3CDTF">2001-03-13T12:44:00Z</dcterms:modified>
  <cp:revision>7</cp:revision>
  <dc:subject/>
  <dc:title> 	</dc:title>
</cp:coreProperties>
</file>