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Name:  Gary Zahn</w:t>
      </w:r>
    </w:p>
    <w:p>
      <w:pPr>
        <w:pStyle w:val="Normal"/>
        <w:rPr/>
      </w:pPr>
      <w:r>
        <w:rPr/>
      </w:r>
    </w:p>
    <w:p>
      <w:pPr>
        <w:pStyle w:val="Normal"/>
        <w:rPr/>
      </w:pPr>
      <w:r>
        <w:rPr/>
        <w:t>Current position/responsibilities: Manager of ET&amp;S Property Accounting</w:t>
      </w:r>
    </w:p>
    <w:p>
      <w:pPr>
        <w:pStyle w:val="Normal"/>
        <w:rPr/>
      </w:pPr>
      <w:r>
        <w:rPr/>
      </w:r>
    </w:p>
    <w:p>
      <w:pPr>
        <w:pStyle w:val="Normal"/>
        <w:rPr/>
      </w:pPr>
      <w:r>
        <w:rPr/>
        <w:t>Lead the property accounting function for Northern Natural Gas Company (NNG) and Tranwestern Pipeline Company (TW).  Act as a resource for ET&amp;S on capitalization issues to ensure compliance with FERC’s Code of Federal Regulations, GAAP, and company policies on  $3.56 billion of plant.  Provide information to help identify business opportunities or minimize downside exposures.  Specifically the group is responsible for on a day to day basis:</w:t>
      </w:r>
    </w:p>
    <w:p>
      <w:pPr>
        <w:pStyle w:val="Normal"/>
        <w:ind w:firstLine="345" w:end="0"/>
        <w:rPr/>
      </w:pPr>
      <w:r>
        <w:rPr/>
      </w:r>
    </w:p>
    <w:p>
      <w:pPr>
        <w:pStyle w:val="Normal"/>
        <w:numPr>
          <w:ilvl w:val="0"/>
          <w:numId w:val="1"/>
        </w:numPr>
        <w:tabs>
          <w:tab w:val="clear" w:pos="720"/>
          <w:tab w:val="left" w:pos="0" w:leader="none"/>
          <w:tab w:val="left" w:pos="360" w:leader="none"/>
        </w:tabs>
        <w:ind w:hanging="720" w:start="1080" w:end="0"/>
        <w:rPr/>
      </w:pPr>
      <w:r>
        <w:rPr/>
        <w:t>Providing guidance on accounting issues related to PP&amp;E</w:t>
      </w:r>
    </w:p>
    <w:p>
      <w:pPr>
        <w:pStyle w:val="Normal"/>
        <w:numPr>
          <w:ilvl w:val="0"/>
          <w:numId w:val="0"/>
        </w:numPr>
        <w:tabs>
          <w:tab w:val="left" w:pos="720" w:leader="none"/>
        </w:tabs>
        <w:ind w:hanging="0" w:start="0"/>
        <w:rPr/>
      </w:pPr>
      <w:r>
        <w:rPr/>
      </w:r>
    </w:p>
    <w:p>
      <w:pPr>
        <w:pStyle w:val="Normal"/>
        <w:numPr>
          <w:ilvl w:val="0"/>
          <w:numId w:val="1"/>
        </w:numPr>
        <w:tabs>
          <w:tab w:val="clear" w:pos="720"/>
          <w:tab w:val="left" w:pos="0" w:leader="none"/>
          <w:tab w:val="left" w:pos="360" w:leader="none"/>
        </w:tabs>
        <w:ind w:hanging="720" w:start="1080" w:end="0"/>
        <w:rPr/>
      </w:pPr>
      <w:r>
        <w:rPr/>
        <w:t>Ensuring compliance with the capitalization and company policies</w:t>
      </w:r>
    </w:p>
    <w:p>
      <w:pPr>
        <w:pStyle w:val="Normal"/>
        <w:numPr>
          <w:ilvl w:val="0"/>
          <w:numId w:val="0"/>
        </w:numPr>
        <w:tabs>
          <w:tab w:val="left" w:pos="720" w:leader="none"/>
        </w:tabs>
        <w:ind w:hanging="0" w:start="0"/>
        <w:rPr/>
      </w:pPr>
      <w:r>
        <w:rPr/>
      </w:r>
    </w:p>
    <w:p>
      <w:pPr>
        <w:pStyle w:val="Normal"/>
        <w:numPr>
          <w:ilvl w:val="0"/>
          <w:numId w:val="1"/>
        </w:numPr>
        <w:tabs>
          <w:tab w:val="clear" w:pos="720"/>
          <w:tab w:val="left" w:pos="0" w:leader="none"/>
          <w:tab w:val="left" w:pos="360" w:leader="none"/>
        </w:tabs>
        <w:ind w:hanging="720" w:start="1080" w:end="0"/>
        <w:rPr/>
      </w:pPr>
      <w:r>
        <w:rPr/>
        <w:t>Providing Net Book Values for Asset Divestitures</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Billing reimbursable work orders</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Processing plant additions, retirements and transfers</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Monitoring materials and supplies transactions</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Reporting on PP&amp;E both internally and externally including annual FERC Form 2</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Providing analysis of construction overhead rate and making recommendations for change</w:t>
      </w:r>
    </w:p>
    <w:p>
      <w:pPr>
        <w:pStyle w:val="Normal"/>
        <w:numPr>
          <w:ilvl w:val="0"/>
          <w:numId w:val="0"/>
        </w:numPr>
        <w:tabs>
          <w:tab w:val="left" w:pos="720" w:leader="none"/>
        </w:tabs>
        <w:ind w:hanging="0" w:start="0"/>
        <w:rPr/>
      </w:pPr>
      <w:r>
        <w:rPr/>
      </w:r>
    </w:p>
    <w:p>
      <w:pPr>
        <w:pStyle w:val="Normal"/>
        <w:numPr>
          <w:ilvl w:val="0"/>
          <w:numId w:val="1"/>
        </w:numPr>
        <w:tabs>
          <w:tab w:val="clear" w:pos="720"/>
          <w:tab w:val="left" w:pos="0" w:leader="none"/>
          <w:tab w:val="left" w:pos="360" w:leader="none"/>
        </w:tabs>
        <w:ind w:hanging="720" w:start="1080" w:end="0"/>
        <w:rPr/>
      </w:pPr>
      <w:r>
        <w:rPr/>
        <w:t>Processing work orders after regulatory and management approval</w:t>
      </w:r>
    </w:p>
    <w:p>
      <w:pPr>
        <w:pStyle w:val="Normal"/>
        <w:numPr>
          <w:ilvl w:val="0"/>
          <w:numId w:val="0"/>
        </w:numPr>
        <w:tabs>
          <w:tab w:val="left" w:pos="720" w:leader="none"/>
        </w:tabs>
        <w:ind w:hanging="0" w:start="0"/>
        <w:rPr/>
      </w:pPr>
      <w:r>
        <w:rPr/>
      </w:r>
    </w:p>
    <w:p>
      <w:pPr>
        <w:pStyle w:val="Normal"/>
        <w:numPr>
          <w:ilvl w:val="0"/>
          <w:numId w:val="1"/>
        </w:numPr>
        <w:tabs>
          <w:tab w:val="clear" w:pos="720"/>
          <w:tab w:val="left" w:pos="0" w:leader="none"/>
          <w:tab w:val="left" w:pos="360" w:leader="none"/>
        </w:tabs>
        <w:ind w:hanging="720" w:start="1080" w:end="0"/>
        <w:rPr/>
      </w:pPr>
      <w:r>
        <w:rPr/>
        <w:t xml:space="preserve">Working with internal and external auditors </w:t>
      </w:r>
    </w:p>
    <w:p>
      <w:pPr>
        <w:pStyle w:val="Normal"/>
        <w:numPr>
          <w:ilvl w:val="0"/>
          <w:numId w:val="0"/>
        </w:numPr>
        <w:ind w:hanging="0" w:start="0"/>
        <w:rPr/>
      </w:pPr>
      <w:r>
        <w:rPr/>
      </w:r>
    </w:p>
    <w:p>
      <w:pPr>
        <w:pStyle w:val="Normal"/>
        <w:numPr>
          <w:ilvl w:val="0"/>
          <w:numId w:val="1"/>
        </w:numPr>
        <w:tabs>
          <w:tab w:val="clear" w:pos="720"/>
          <w:tab w:val="left" w:pos="0" w:leader="none"/>
          <w:tab w:val="left" w:pos="360" w:leader="none"/>
        </w:tabs>
        <w:ind w:hanging="720" w:start="1080" w:end="0"/>
        <w:rPr/>
      </w:pPr>
      <w:r>
        <w:rPr/>
        <w:t>Reconciling selected plant balance sheet accounts</w:t>
      </w:r>
    </w:p>
    <w:p>
      <w:pPr>
        <w:pStyle w:val="Normal"/>
        <w:numPr>
          <w:ilvl w:val="0"/>
          <w:numId w:val="0"/>
        </w:numPr>
        <w:tabs>
          <w:tab w:val="left" w:pos="720" w:leader="none"/>
        </w:tabs>
        <w:ind w:hanging="0" w:start="0"/>
        <w:rPr/>
      </w:pPr>
      <w:r>
        <w:rPr/>
      </w:r>
    </w:p>
    <w:p>
      <w:pPr>
        <w:pStyle w:val="Normal"/>
        <w:numPr>
          <w:ilvl w:val="0"/>
          <w:numId w:val="1"/>
        </w:numPr>
        <w:tabs>
          <w:tab w:val="clear" w:pos="720"/>
          <w:tab w:val="left" w:pos="0" w:leader="none"/>
          <w:tab w:val="left" w:pos="360" w:leader="none"/>
        </w:tabs>
        <w:ind w:hanging="360" w:start="1080" w:end="0"/>
        <w:rPr/>
      </w:pPr>
      <w:r>
        <w:rPr/>
        <w:t>Working on special projects as needed</w:t>
      </w:r>
    </w:p>
    <w:p>
      <w:pPr>
        <w:pStyle w:val="Normal"/>
        <w:rPr/>
      </w:pPr>
      <w:r>
        <w:rPr/>
      </w:r>
    </w:p>
    <w:p>
      <w:pPr>
        <w:pStyle w:val="Normal"/>
        <w:rPr/>
      </w:pPr>
      <w:r>
        <w:rPr/>
        <w:t>Length of time in current position: 4.5 years</w:t>
      </w:r>
    </w:p>
    <w:p>
      <w:pPr>
        <w:pStyle w:val="Normal"/>
        <w:rPr/>
      </w:pPr>
      <w:r>
        <w:rPr/>
      </w:r>
    </w:p>
    <w:p>
      <w:pPr>
        <w:pStyle w:val="Normal"/>
        <w:rPr/>
      </w:pPr>
      <w:r>
        <w:rPr/>
        <w:t>Supervisor: Rod Hayslett</w:t>
      </w:r>
    </w:p>
    <w:p>
      <w:pPr>
        <w:pStyle w:val="Normal"/>
        <w:rPr/>
      </w:pPr>
      <w:r>
        <w:rPr/>
      </w:r>
    </w:p>
    <w:p>
      <w:pPr>
        <w:pStyle w:val="Normal"/>
        <w:rPr/>
      </w:pPr>
      <w:r>
        <w:rPr/>
        <w:t>Work History (Enron/prior experience):</w:t>
      </w:r>
    </w:p>
    <w:p>
      <w:pPr>
        <w:pStyle w:val="Normal"/>
        <w:rPr/>
      </w:pPr>
      <w:r>
        <w:rPr/>
      </w:r>
    </w:p>
    <w:p>
      <w:pPr>
        <w:pStyle w:val="Normal"/>
        <w:rPr/>
      </w:pPr>
      <w:r>
        <w:rPr/>
        <w:t>Enron – 19.5 years</w:t>
      </w:r>
    </w:p>
    <w:p>
      <w:pPr>
        <w:pStyle w:val="Normal"/>
        <w:rPr/>
      </w:pPr>
      <w:r>
        <w:rPr/>
      </w:r>
    </w:p>
    <w:p>
      <w:pPr>
        <w:pStyle w:val="Normal"/>
        <w:rPr/>
      </w:pPr>
      <w:r>
        <w:rPr/>
        <w:t>Manager - ET&amp;S Property Accounting, 4.5 years</w:t>
      </w:r>
    </w:p>
    <w:p>
      <w:pPr>
        <w:pStyle w:val="Normal"/>
        <w:rPr/>
      </w:pPr>
      <w:r>
        <w:rPr/>
        <w:t>Lead the ET&amp;S Property Accounting group supporting NNG and TW.  Worked on the recording of the NNG Gathering Spindown, assisted Arthur Andersen on NNG depreciation study, NNG Rate Case filing, solidifying the net book value calculation process, and bringing current the billing for reimbursable work orders.  Currently working on the conversion to the new SAP accounting system.</w:t>
      </w:r>
    </w:p>
    <w:p>
      <w:pPr>
        <w:pStyle w:val="Normal"/>
        <w:rPr/>
      </w:pPr>
      <w:r>
        <w:rPr/>
      </w:r>
    </w:p>
    <w:p>
      <w:pPr>
        <w:pStyle w:val="Normal"/>
        <w:rPr/>
      </w:pPr>
      <w:r>
        <w:rPr/>
        <w:t>Sr. Economic Analyst – ET&amp;S Economic Analysis, .5 year</w:t>
      </w:r>
    </w:p>
    <w:p>
      <w:pPr>
        <w:pStyle w:val="Normal"/>
        <w:rPr/>
      </w:pPr>
      <w:r>
        <w:rPr/>
        <w:t xml:space="preserve"> </w:t>
      </w:r>
      <w:r>
        <w:rPr/>
        <w:t>Provided economic analysis of major proposals for Marketing capital projects, asset sales, and other discretionary expenditures.  Calculated the gain and cash flow impact along with providing cost analysis for the spindown/sale of NNG and TW gathering and non-strategic transmission assets.</w:t>
      </w:r>
    </w:p>
    <w:p>
      <w:pPr>
        <w:pStyle w:val="Normal"/>
        <w:rPr/>
      </w:pPr>
      <w:r>
        <w:rPr/>
      </w:r>
    </w:p>
    <w:p>
      <w:pPr>
        <w:pStyle w:val="Normal"/>
        <w:rPr/>
      </w:pPr>
      <w:r>
        <w:rPr/>
      </w:r>
    </w:p>
    <w:p>
      <w:pPr>
        <w:pStyle w:val="Normal"/>
        <w:rPr/>
      </w:pPr>
      <w:r>
        <w:rPr/>
      </w:r>
    </w:p>
    <w:p>
      <w:pPr>
        <w:pStyle w:val="Normal"/>
        <w:rPr/>
      </w:pPr>
      <w:r>
        <w:rPr/>
        <w:t>Manager – Enfuels Finance and Administration, 3.5 years</w:t>
      </w:r>
    </w:p>
    <w:p>
      <w:pPr>
        <w:pStyle w:val="Normal"/>
        <w:rPr/>
      </w:pPr>
      <w:r>
        <w:rPr/>
        <w:t xml:space="preserve"> </w:t>
      </w:r>
      <w:r>
        <w:rPr/>
        <w:t>Managed the financial accounting, reporting, planning, and administrative function for this start-up company, owned by Enron, Transco, and Entex.  Operated by Enron, it established compressed natural gas (CNG) as a motor fuel in the Greater Houston Area.  Operated eight fueling stations and a 22,000 square foot Technology Center where vehicles were converted to run on CNG.  Enron sold its interests in Enfuels in 1995.  Implemented a LAN based accounting system, developed a chart of accounts along with policy and procedures for credit, accounting and system processing.  Prepared monthly financial statements, annual operating plans, current estimates, variance analysis for management and Enfuels Board of Directors.</w:t>
      </w:r>
    </w:p>
    <w:p>
      <w:pPr>
        <w:pStyle w:val="Normal"/>
        <w:rPr/>
      </w:pPr>
      <w:r>
        <w:rPr/>
      </w:r>
    </w:p>
    <w:p>
      <w:pPr>
        <w:pStyle w:val="Normal"/>
        <w:rPr/>
      </w:pPr>
      <w:r>
        <w:rPr/>
        <w:t>Manager HPL Accounting – 7 years</w:t>
      </w:r>
    </w:p>
    <w:p>
      <w:pPr>
        <w:pStyle w:val="Normal"/>
        <w:rPr/>
      </w:pPr>
      <w:r>
        <w:rPr/>
        <w:t xml:space="preserve"> </w:t>
      </w:r>
      <w:r>
        <w:rPr/>
        <w:t xml:space="preserve">Directed activities for general accounting and reporting for the Houston Pipe Line Companies, Enron Gas Marketing and joint ventures including Oasis Pipe Line.  </w:t>
      </w:r>
    </w:p>
    <w:p>
      <w:pPr>
        <w:pStyle w:val="Normal"/>
        <w:rPr/>
      </w:pPr>
      <w:r>
        <w:rPr/>
        <w:t>Reviewed general journal entries, account reconciliations, labor distributions, tax calculations, and financial reporting.  Worked on the MSA General Ledger and Accounts Receivable installations.  Transitioned joint ventures accounting from Omaha to Houston after merger with NNG.</w:t>
      </w:r>
    </w:p>
    <w:p>
      <w:pPr>
        <w:pStyle w:val="Normal"/>
        <w:rPr/>
      </w:pPr>
      <w:r>
        <w:rPr/>
      </w:r>
    </w:p>
    <w:p>
      <w:pPr>
        <w:pStyle w:val="Normal"/>
        <w:rPr/>
      </w:pPr>
      <w:r>
        <w:rPr/>
        <w:t>Senior Accountant/Accountant – 4 years</w:t>
      </w:r>
    </w:p>
    <w:p>
      <w:pPr>
        <w:pStyle w:val="Normal"/>
        <w:rPr/>
      </w:pPr>
      <w:r>
        <w:rPr/>
        <w:t xml:space="preserve"> </w:t>
      </w:r>
      <w:r>
        <w:rPr/>
        <w:t>Prepared and analyzed transactions for gas, property, inventory, and general accounting for the Houston Pipe Line Companies.</w:t>
      </w:r>
    </w:p>
    <w:p>
      <w:pPr>
        <w:pStyle w:val="Normal"/>
        <w:rPr/>
      </w:pPr>
      <w:r>
        <w:rPr/>
      </w:r>
    </w:p>
    <w:p>
      <w:pPr>
        <w:pStyle w:val="Normal"/>
        <w:rPr/>
      </w:pPr>
      <w:r>
        <w:rPr/>
        <w:t>Education:  BBA in Accounting – Texas A&amp;M University</w:t>
      </w:r>
    </w:p>
    <w:p>
      <w:pPr>
        <w:pStyle w:val="Normal"/>
        <w:rPr/>
      </w:pPr>
      <w:r>
        <w:rPr/>
      </w:r>
    </w:p>
    <w:p>
      <w:pPr>
        <w:pStyle w:val="Normal"/>
        <w:rPr/>
      </w:pPr>
      <w:r>
        <w:rPr/>
        <w:t>Professional certifications/affiliations:</w:t>
      </w:r>
    </w:p>
    <w:p>
      <w:pPr>
        <w:pStyle w:val="Normal"/>
        <w:rPr/>
      </w:pPr>
      <w:r>
        <w:rPr/>
      </w:r>
    </w:p>
    <w:p>
      <w:pPr>
        <w:pStyle w:val="Normal"/>
        <w:rPr/>
      </w:pPr>
      <w:r>
        <w:rPr/>
        <w:t>Goals/accomplishments:</w:t>
      </w:r>
    </w:p>
    <w:p>
      <w:pPr>
        <w:pStyle w:val="Normal"/>
        <w:rPr/>
      </w:pPr>
      <w:r>
        <w:rPr/>
      </w:r>
    </w:p>
    <w:p>
      <w:pPr>
        <w:pStyle w:val="Normal"/>
        <w:numPr>
          <w:ilvl w:val="0"/>
          <w:numId w:val="2"/>
        </w:numPr>
        <w:tabs>
          <w:tab w:val="clear" w:pos="720"/>
          <w:tab w:val="left" w:pos="0" w:leader="none"/>
          <w:tab w:val="left" w:pos="360" w:leader="none"/>
        </w:tabs>
        <w:ind w:hanging="720" w:start="1080" w:end="0"/>
        <w:rPr/>
      </w:pPr>
      <w:r>
        <w:rPr/>
        <w:t>Resolve outstanding issues surrounding the composite depreciation gap in SAP.</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720" w:start="1080" w:end="0"/>
        <w:rPr/>
      </w:pPr>
      <w:r>
        <w:rPr/>
        <w:t>Convert the ET&amp;S Fixed Assets and Project Tracking data to SAP.</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720" w:start="1080" w:end="0"/>
        <w:rPr/>
      </w:pPr>
      <w:r>
        <w:rPr/>
        <w:t>Transition GPG to a new work order process flow.</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720" w:start="1080" w:end="0"/>
        <w:rPr/>
      </w:pPr>
      <w:r>
        <w:rPr/>
        <w:t>Change the as-built drawing billing process.</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720" w:start="1080" w:end="0"/>
        <w:rPr/>
      </w:pPr>
      <w:r>
        <w:rPr/>
        <w:t>Participated in the Plant Held for Future Use effort by providing guidance on accounting issues, providing plant information, and processing transactions.</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720" w:start="1080" w:end="0"/>
        <w:rPr/>
      </w:pPr>
      <w:r>
        <w:rPr/>
        <w:t>Monitor the overhead work order balances and make recommendations for rate changes.</w:t>
      </w:r>
    </w:p>
    <w:p>
      <w:pPr>
        <w:pStyle w:val="Normal"/>
        <w:numPr>
          <w:ilvl w:val="0"/>
          <w:numId w:val="0"/>
        </w:numPr>
        <w:ind w:hanging="0" w:start="0"/>
        <w:rPr/>
      </w:pPr>
      <w:r>
        <w:rPr/>
      </w:r>
    </w:p>
    <w:p>
      <w:pPr>
        <w:pStyle w:val="Normal"/>
        <w:numPr>
          <w:ilvl w:val="0"/>
          <w:numId w:val="2"/>
        </w:numPr>
        <w:tabs>
          <w:tab w:val="clear" w:pos="720"/>
          <w:tab w:val="left" w:pos="0" w:leader="none"/>
          <w:tab w:val="left" w:pos="360" w:leader="none"/>
        </w:tabs>
        <w:ind w:hanging="360" w:start="1080" w:end="0"/>
        <w:rPr/>
      </w:pPr>
      <w:r>
        <w:rPr/>
        <w:t>Maintain the reimbursable work order balance under $2.MM.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2000-06-26T01:23:00Z</dcterms:created>
  <dc:creator>ET&amp;S</dc:creator>
  <dc:description/>
  <dc:language>en-CA</dc:language>
  <cp:lastModifiedBy>ET&amp;S</cp:lastModifiedBy>
  <cp:lastPrinted>2000-06-27T08:20:00Z</cp:lastPrinted>
  <dcterms:modified xsi:type="dcterms:W3CDTF">2000-06-27T10:56:00Z</dcterms:modified>
  <cp:revision>18</cp:revision>
  <dc:subject/>
  <dc:title>  Gary Zahn</dc:title>
</cp:coreProperties>
</file>