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sz w:val="22"/>
        </w:rPr>
      </w:pPr>
      <w:r>
        <w:rPr>
          <w:sz w:val="22"/>
        </w:rPr>
        <w:t>[COUNTERPARTY'S GUARANTOR]</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w:t>
      </w:r>
      <w:r>
        <w:rPr>
          <w:sz w:val="22"/>
          <w:u w:val="single"/>
        </w:rPr>
        <w:t xml:space="preserve">  </w:t>
      </w:r>
      <w:r>
        <w:rPr>
          <w:sz w:val="22"/>
        </w:rPr>
        <w:t xml:space="preserve"> (the “Effective Date”),  is made and entered into by _____________________, a __________________________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______________ a ___________________ and an affiliate of Guarantor (“Counterparty”) and Enron North America Corp.,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2000,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transactions][SO2, Nox and/or other emission credit trading product transactions][coal, bandwidth, pulp, paper and/or other wood products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______________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 ]</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$________________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$___________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____________________ duly organized and validly existing under the laws of the State of __________ and has the ______________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spacing w:lineRule="atLeast" w:line="240"/>
              <w:rPr>
                <w:sz w:val="22"/>
              </w:rPr>
            </w:pPr>
            <w:r>
              <w:rPr>
                <w:sz w:val="22"/>
              </w:rPr>
              <w:t>To the Enron Parties:</w:t>
            </w:r>
          </w:p>
        </w:tc>
        <w:tc>
          <w:tcPr>
            <w:tcW w:w="4302" w:type="dxa"/>
            <w:tcBorders/>
          </w:tcPr>
          <w:p>
            <w:pPr>
              <w:pStyle w:val="Normal"/>
              <w:keepNext w:val="true"/>
              <w:keepLines/>
              <w:spacing w:lineRule="atLeast" w:line="240"/>
              <w:rPr>
                <w:sz w:val="22"/>
              </w:rPr>
            </w:pPr>
            <w:r>
              <w:rPr>
                <w:sz w:val="22"/>
              </w:rPr>
              <w:t>Enron North America Corp.</w:t>
            </w:r>
          </w:p>
        </w:tc>
        <w:tc>
          <w:tcPr>
            <w:tcW w:w="1618" w:type="dxa"/>
            <w:tcBorders/>
          </w:tcPr>
          <w:p>
            <w:pPr>
              <w:pStyle w:val="Normal"/>
              <w:keepNext w:val="true"/>
              <w:keepLines/>
              <w:spacing w:lineRule="atLeast" w:line="240"/>
              <w:rPr>
                <w:sz w:val="22"/>
              </w:rPr>
            </w:pPr>
            <w:r>
              <w:rPr>
                <w:sz w:val="22"/>
              </w:rPr>
              <w:t>To Guarantor:</w:t>
            </w:r>
          </w:p>
        </w:tc>
        <w:tc>
          <w:tcPr>
            <w:tcW w:w="353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1400 Smith Street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Houston, Texas  77002</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Attn.:</w:t>
              <w:tab/>
              <w:t>Director, Documentation Department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Fax No.:  (713) 646-4816</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exact" w:line="240"/>
        <w:ind w:start="3600" w:end="720"/>
        <w:jc w:val="both"/>
        <w:rPr>
          <w:sz w:val="22"/>
        </w:rPr>
      </w:pPr>
      <w:r>
        <w:rPr>
          <w:sz w:val="22"/>
        </w:rPr>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Entities, the Prior Guaranty shall become null and void and of no further force or effect.  Upon receipt of an originally executed copy of this Guaranty, the Enron Entities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sz w:val="22"/>
        </w:rPr>
      </w:pPr>
      <w:r>
        <w:rPr>
          <w:sz w:val="22"/>
        </w:rPr>
        <w:t>______________________________________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[ADD ENRON ENTITIES,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2001-03-01T11:54:00Z</dcterms:created>
  <dc:creator>tjones</dc:creator>
  <dc:description/>
  <dc:language>en-CA</dc:language>
  <cp:lastModifiedBy>sbaile2</cp:lastModifiedBy>
  <cp:lastPrinted>2000-06-29T11:59:00Z</cp:lastPrinted>
  <dcterms:modified xsi:type="dcterms:W3CDTF">2001-03-01T11:56:00Z</dcterms:modified>
  <cp:revision>3</cp:revision>
  <dc:subject/>
  <dc:title>EXHIBIT A</dc:title>
</cp:coreProperties>
</file>