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ind w:end="720"/>
        <w:jc w:val="center"/>
        <w:rPr>
          <w:b/>
          <w:sz w:val="22"/>
        </w:rPr>
      </w:pPr>
      <w:r>
        <w:rPr>
          <w:b/>
          <w:sz w:val="22"/>
        </w:rPr>
      </w:r>
    </w:p>
    <w:p>
      <w:pPr>
        <w:pStyle w:val="Normal"/>
        <w:spacing w:lineRule="exact" w:line="240"/>
        <w:ind w:end="720"/>
        <w:jc w:val="center"/>
        <w:rPr>
          <w:sz w:val="22"/>
        </w:rPr>
      </w:pPr>
      <w:r>
        <w:rPr>
          <w:sz w:val="22"/>
        </w:rPr>
        <w:t>[COUNTERPARTY'S GUARANTOR]</w:t>
      </w:r>
    </w:p>
    <w:p>
      <w:pPr>
        <w:pStyle w:val="Normal"/>
        <w:ind w:end="720"/>
        <w:jc w:val="center"/>
        <w:rPr>
          <w:sz w:val="22"/>
        </w:rPr>
      </w:pPr>
      <w:r>
        <w:rPr>
          <w:sz w:val="22"/>
        </w:rPr>
      </w:r>
    </w:p>
    <w:p>
      <w:pPr>
        <w:pStyle w:val="Normal"/>
        <w:spacing w:lineRule="exact" w:line="240"/>
        <w:ind w:end="720"/>
        <w:jc w:val="center"/>
        <w:rPr>
          <w:sz w:val="22"/>
        </w:rPr>
      </w:pPr>
      <w:r>
        <w:rPr>
          <w:sz w:val="22"/>
          <w:u w:val="single"/>
        </w:rPr>
        <w:t>Guaranty</w:t>
      </w:r>
    </w:p>
    <w:p>
      <w:pPr>
        <w:pStyle w:val="Normal"/>
        <w:ind w:end="720"/>
        <w:jc w:val="both"/>
        <w:rPr>
          <w:sz w:val="22"/>
        </w:rPr>
      </w:pPr>
      <w:r>
        <w:rPr>
          <w:sz w:val="22"/>
        </w:rPr>
      </w:r>
    </w:p>
    <w:p>
      <w:pPr>
        <w:pStyle w:val="Normal"/>
        <w:ind w:end="720"/>
        <w:jc w:val="both"/>
        <w:rPr>
          <w:sz w:val="22"/>
        </w:rPr>
      </w:pPr>
      <w:r>
        <w:rPr>
          <w:sz w:val="22"/>
        </w:rPr>
      </w:r>
    </w:p>
    <w:p>
      <w:pPr>
        <w:pStyle w:val="Normal"/>
        <w:spacing w:lineRule="atLeast" w:line="240"/>
        <w:ind w:firstLine="720" w:end="0"/>
        <w:jc w:val="both"/>
        <w:rPr/>
      </w:pPr>
      <w:r>
        <w:rPr>
          <w:sz w:val="22"/>
        </w:rPr>
        <w:t xml:space="preserve">This Guaranty (the “Guaranty”), dated as of </w:t>
      </w:r>
      <w:r>
        <w:rPr>
          <w:sz w:val="22"/>
          <w:u w:val="single"/>
        </w:rPr>
        <w:tab/>
        <w:tab/>
        <w:tab/>
      </w:r>
      <w:r>
        <w:rPr>
          <w:sz w:val="22"/>
        </w:rPr>
        <w:t>, 1999 is made and entered into by _____________________, a __________________________ (“Guarantor”).</w:t>
      </w:r>
    </w:p>
    <w:p>
      <w:pPr>
        <w:pStyle w:val="Normal"/>
        <w:spacing w:lineRule="atLeast" w:line="240"/>
        <w:jc w:val="both"/>
        <w:rPr>
          <w:sz w:val="22"/>
        </w:rPr>
      </w:pPr>
      <w:r>
        <w:rPr>
          <w:sz w:val="22"/>
        </w:rPr>
      </w:r>
    </w:p>
    <w:p>
      <w:pPr>
        <w:pStyle w:val="Normal"/>
        <w:keepNext w:val="true"/>
        <w:spacing w:lineRule="atLeast" w:line="24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Normal"/>
        <w:spacing w:lineRule="atLeast" w:line="240"/>
        <w:ind w:firstLine="720" w:end="0"/>
        <w:jc w:val="both"/>
        <w:rPr/>
      </w:pPr>
      <w:r>
        <w:rPr>
          <w:sz w:val="22"/>
        </w:rPr>
        <w:t xml:space="preserve">WHEREAS, ______________ a ___________________ and an affiliate of Guarantor (“Counterparty”) and </w:t>
      </w:r>
      <w:r>
        <w:rPr>
          <w:caps/>
          <w:sz w:val="22"/>
        </w:rPr>
        <w:t>Enron NORTH AMERICA Corp.</w:t>
      </w:r>
      <w:r>
        <w:rPr>
          <w:sz w:val="22"/>
        </w:rPr>
        <w:t>, a Delaware corporation (“ENA”), have entered into and/or will enter into one or more swap, option, or other financially-settled derivative transactions  (the “Financial Transactions”), which Financial Transactions will be evidenced by one or more swap agreements, confirmations and/or master agreements, including without limitation, the ISDA Master Agreement dated as of ____________, 1999, as the same may from time to time be modified, amended and supplemented (all such Financial Transactions and the agreements evidencing same, including without limitation, the ISDA Master Agreement, whether entered into prior to, on or after the date hereof, as the same may be modified, amended and supplemented, shall be herein referred to collectively as the “Financial Contracts”)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one or more affiliates of ENA (collectively, the “ENA Affiliates”)  have entered into and/or will enter into one or more power (including electrical energy capacity and/or products and services related thereto) transactions (the “Power Transactions”), which Power Transactions will be evidenced by one or more purchase and sale agreements, confirmations and/or master agreements, including without limitation, the  Master Energy Purchase and Sale Agreement dated ____________, as the same may from time to time be modified, amended and supplemented (all such Power Transactions and the agreements evidencing same, including without limitation, the Master Energy Purchase and Sale Agreement, whether entered into prior to, on or after the date hereof, as the same may be modified, amended and supplemented, shall be herein referred to collectively as the “Power Contracts”)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Counterparty and ENA or one or more ENA Affiliates have entered into and/or will enter into one or more gas, crude oil and/or other petroleum product transactions (the “Commodity Transactions”, and together with the Financial Transactions and the Power Transactions being hereinafter collectively referred to as the “Transactions”), which Commodity Transactions will be evidenced by one or more purchase and sale agreements, confirmations and/or master agreements, including without limitation, the Enfolio Master Firm Purchase/Sale Agreements dated ____________, as the same may from time to time be modified, amended and supplemented (all such Commodity Transactions and the agreements evidencing same, including without limitation, the Enfolio Master Firm Purchase/Sale Agreements, whether entered into prior to, on or after the date hereof, as the same may be modified, amended and supplemented, shall be herein referred to collectively as the “Physical Contracts” and together with the Financial Contracts and the Power Contracts being hereinafter collectively referred to as the “Contracts”))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 xml:space="preserve"> </w:t>
      </w:r>
      <w:r>
        <w:rPr>
          <w:sz w:val="22"/>
        </w:rPr>
        <w:t>[WHEREAS, Guarantor has entered into that certain Guaranty dated ____________ (the “Original Guaranty”) for the benefit of Counterparty in connection with certain Commodity Transactions entered into by Counterparty;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has agreed to amend and restate the Original Guaranty for the purpose of, among other things, including the Financial Transactions that Counterparty may enter into with or has entered with ENA; and ]</w:t>
      </w:r>
    </w:p>
    <w:p>
      <w:pPr>
        <w:pStyle w:val="Normal"/>
        <w:spacing w:lineRule="atLeast" w:line="240"/>
        <w:ind w:firstLine="720" w:end="0"/>
        <w:jc w:val="both"/>
        <w:rPr>
          <w:sz w:val="22"/>
        </w:rPr>
      </w:pPr>
      <w:r>
        <w:rPr>
          <w:sz w:val="22"/>
        </w:rPr>
        <w:t xml:space="preserve"> </w:t>
      </w:r>
    </w:p>
    <w:p>
      <w:pPr>
        <w:pStyle w:val="Normal"/>
        <w:spacing w:lineRule="atLeast" w:line="240"/>
        <w:ind w:firstLine="720" w:end="0"/>
        <w:jc w:val="both"/>
        <w:rPr>
          <w:sz w:val="22"/>
        </w:rPr>
      </w:pPr>
      <w:r>
        <w:rPr>
          <w:sz w:val="22"/>
        </w:rPr>
        <w:t>WHEREAS, Guarantor has benefited and in the future will directly or indirectly benefit from the transactions to be entered into between ENA and Counterparty and the ENA Affiliates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ENA and the ENA Affiliates entering into the Contracts, Guarantor hereby covenants and agrees to amend and restate the Original Guaranty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(a) Guarantor hereby irrevocably and unconditionally guarantees the timely payment when due of the obligations of Counterparty (the “Obligations”) to ENA and the ENA Affiliates under the Contracts, and (b) to the extent that Counterparty shall fail to pay any Obligations, Guarantor shall promptly pay to ENA or the ENA Affiliates, as the case may be,  the amount due.  This Guaranty shall constitute a guarantee of payment and not of collection.  The liability of Guarantor under the Guaranty shall be subject to the following:</w:t>
      </w:r>
    </w:p>
    <w:p>
      <w:pPr>
        <w:pStyle w:val="Normal"/>
        <w:spacing w:lineRule="exact" w:line="240" w:before="240" w:after="0"/>
        <w:ind w:start="1440" w:end="0"/>
        <w:jc w:val="both"/>
        <w:rPr>
          <w:sz w:val="22"/>
        </w:rPr>
      </w:pPr>
      <w:r>
        <w:rPr>
          <w:sz w:val="22"/>
        </w:rPr>
        <w:t>(a)  Guarantor’s liability hereunder shall be and is specifically limited to payments expressly required to be made under the Contracts (even if such payments are deemed to be damages) and, except to the extent specifically provided in the Contracts, in no event shall Guarantor be subject hereunder to consequential, exemplary, equitable, loss of profits, punitive, tort, or any other damages, costs, or attorney’s fees.</w:t>
      </w:r>
    </w:p>
    <w:p>
      <w:pPr>
        <w:pStyle w:val="Normal"/>
        <w:spacing w:lineRule="exact" w:line="240" w:before="240" w:after="0"/>
        <w:ind w:start="1440" w:end="0"/>
        <w:jc w:val="both"/>
        <w:rPr>
          <w:sz w:val="22"/>
        </w:rPr>
      </w:pPr>
      <w:r>
        <w:rPr>
          <w:sz w:val="22"/>
        </w:rPr>
        <w:t>(b)  The aggregate amount covered by this Guaranty shall not exceed $________________ (the “Guarantee Cap”).</w:t>
      </w:r>
    </w:p>
    <w:p>
      <w:pPr>
        <w:pStyle w:val="Normal"/>
        <w:spacing w:lineRule="atLeast" w:line="240"/>
        <w:jc w:val="both"/>
        <w:rPr>
          <w:sz w:val="22"/>
        </w:rPr>
      </w:pPr>
      <w:r>
        <w:rPr>
          <w:sz w:val="22"/>
        </w:rPr>
      </w:r>
    </w:p>
    <w:p>
      <w:pPr>
        <w:pStyle w:val="Normal"/>
        <w:numPr>
          <w:ilvl w:val="0"/>
          <w:numId w:val="1"/>
        </w:numPr>
        <w:spacing w:lineRule="atLeast" w:line="240"/>
        <w:ind w:firstLine="720" w:start="0" w:end="0"/>
        <w:jc w:val="both"/>
        <w:rPr>
          <w:sz w:val="22"/>
        </w:rPr>
      </w:pPr>
      <w:r>
        <w:rPr>
          <w:sz w:val="22"/>
          <w:u w:val="single"/>
        </w:rPr>
        <w:t>DEMANDS AND NOTICE</w:t>
      </w:r>
      <w:r>
        <w:rPr>
          <w:sz w:val="22"/>
        </w:rPr>
        <w:t>.  If Counterparty fails or refuses to pay any Obligations, and either ENA or the ENA Affiliates has elected to exercise its rights under this Guaranty, ENA or the ENA Affiliates, as the case may be,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ENA or the ENA Affiliates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w:t>
      </w:r>
    </w:p>
    <w:p>
      <w:pPr>
        <w:pStyle w:val="Normal"/>
        <w:spacing w:lineRule="atLeast" w:line="240"/>
        <w:jc w:val="both"/>
        <w:rPr>
          <w:sz w:val="22"/>
        </w:rPr>
      </w:pPr>
      <w:r>
        <w:rPr>
          <w:sz w:val="22"/>
        </w:rPr>
      </w:r>
    </w:p>
    <w:p>
      <w:pPr>
        <w:pStyle w:val="Normal"/>
        <w:tabs>
          <w:tab w:val="left" w:pos="720" w:leader="none"/>
        </w:tabs>
        <w:spacing w:lineRule="atLeast" w:line="240"/>
        <w:jc w:val="both"/>
        <w:rPr>
          <w:sz w:val="22"/>
        </w:rPr>
      </w:pPr>
      <w:r>
        <w:rPr>
          <w:sz w:val="22"/>
        </w:rPr>
        <w:tab/>
        <w:t>Guarantor shall not be liable for any Payment Demands in excess of the Guarantee Cap.  In the event Guarantor receives approximately simultaneous Payment Demands from ENA and the ENA Affiliates in excess of the Guarantee Cap, Guarantor’s total payment up to but not exceeding $___________ shall be allocated among the Contracts to which ENA and the ENA Affiliates are parties in accordance with each Contract’s percentage of the total amount demanded by both.  In all other instances, Guarantor’s payments hereunder, up to and including, but not in excess of the Guarantee Cap, will be made in the order in which the associated Payment Demands were received.</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spacing w:lineRule="exact" w:line="240" w:before="240" w:after="0"/>
        <w:ind w:start="720" w:end="0"/>
        <w:jc w:val="both"/>
        <w:rPr>
          <w:sz w:val="22"/>
        </w:rPr>
      </w:pPr>
      <w:r>
        <w:rPr>
          <w:sz w:val="22"/>
        </w:rPr>
        <w:t xml:space="preserve">(a)  it is a ____________________ duly organized and validly existing under the laws of the State of __________ and has the corporate power and authority to execute, deliver and carry out the terms and provisions of the Guaranty; </w:t>
      </w:r>
    </w:p>
    <w:p>
      <w:pPr>
        <w:pStyle w:val="Normal"/>
        <w:spacing w:lineRule="exact" w:line="240" w:before="240" w:after="0"/>
        <w:ind w:start="72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Counterparty is or may be entitled to arising from or out of the Contracts or otherwise, except for defenses arising out of the bankruptcy, insolvency, dissolution or liquidation of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ENA and the ENA Affiliates.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Counterparty or any other person, or except as expressly hereinabove set forth, to require that ENA or the ENA Affiliates seek enforcement of any performance against Counterparty or any other person, prior to any action against Guarantor under the terms hereof.  Except as to applicable statutes of limitation, no delay of ENA or the ENA Affiliates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ENA and the ENA Affiliates and upon the effectiveness of such termination, Guarantor shall have no further liability hereunder, except as provided in the last sentence of this paragraph.  No such termination shall be effective until five (5) business days after receipt by ENA and the ENA Affiliates of such termination notice.  No such termination shall affect Guarantor’s liability with respect to any Transactions entered into prior to the time the termination is effective, which Transactions and the obligations of Counterparty with respect thereto under the Contracts,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098"/>
        <w:gridCol w:w="4302"/>
        <w:gridCol w:w="1618"/>
        <w:gridCol w:w="3530"/>
      </w:tblGrid>
      <w:tr>
        <w:trPr/>
        <w:tc>
          <w:tcPr>
            <w:tcW w:w="1098" w:type="dxa"/>
            <w:tcBorders/>
          </w:tcPr>
          <w:p>
            <w:pPr>
              <w:pStyle w:val="Normal"/>
              <w:keepNext w:val="true"/>
              <w:keepLines/>
              <w:spacing w:lineRule="atLeast" w:line="240"/>
              <w:rPr>
                <w:sz w:val="22"/>
              </w:rPr>
            </w:pPr>
            <w:r>
              <w:rPr>
                <w:b/>
                <w:sz w:val="22"/>
              </w:rPr>
              <w:t>To ENA or any ENA Affiliate:</w:t>
            </w:r>
          </w:p>
        </w:tc>
        <w:tc>
          <w:tcPr>
            <w:tcW w:w="4302" w:type="dxa"/>
            <w:tcBorders/>
          </w:tcPr>
          <w:p>
            <w:pPr>
              <w:pStyle w:val="Normal"/>
              <w:keepNext w:val="true"/>
              <w:keepLines/>
              <w:spacing w:lineRule="atLeast" w:line="240"/>
              <w:rPr>
                <w:sz w:val="22"/>
              </w:rPr>
            </w:pPr>
            <w:r>
              <w:rPr>
                <w:sz w:val="22"/>
              </w:rPr>
              <w:t>Enron North America Corp.</w:t>
            </w:r>
          </w:p>
        </w:tc>
        <w:tc>
          <w:tcPr>
            <w:tcW w:w="1618" w:type="dxa"/>
            <w:tcBorders/>
          </w:tcPr>
          <w:p>
            <w:pPr>
              <w:pStyle w:val="Normal"/>
              <w:keepNext w:val="true"/>
              <w:keepLines/>
              <w:spacing w:lineRule="atLeast" w:line="240"/>
              <w:rPr>
                <w:sz w:val="22"/>
              </w:rPr>
            </w:pPr>
            <w:r>
              <w:rPr>
                <w:b/>
                <w:sz w:val="22"/>
              </w:rPr>
              <w:t>To Guarantor:</w:t>
            </w:r>
          </w:p>
        </w:tc>
        <w:tc>
          <w:tcPr>
            <w:tcW w:w="3530" w:type="dxa"/>
            <w:tcBorders/>
          </w:tcPr>
          <w:p>
            <w:pPr>
              <w:pStyle w:val="Normal"/>
              <w:keepNext w:val="true"/>
              <w:keepLines/>
              <w:tabs>
                <w:tab w:val="clear" w:pos="720"/>
                <w:tab w:val="right" w:pos="2988" w:leader="none"/>
              </w:tabs>
              <w:snapToGrid w:val="false"/>
              <w:spacing w:lineRule="atLeast" w:line="240"/>
              <w:rPr>
                <w:sz w:val="22"/>
              </w:rPr>
            </w:pPr>
            <w:r>
              <w:rPr>
                <w:sz w:val="22"/>
              </w:rPr>
            </w:r>
          </w:p>
          <w:p>
            <w:pPr>
              <w:pStyle w:val="Normal"/>
              <w:keepNext w:val="true"/>
              <w:keepLines/>
              <w:tabs>
                <w:tab w:val="clear" w:pos="720"/>
                <w:tab w:val="right" w:pos="2988" w:leader="none"/>
              </w:tabs>
              <w:spacing w:lineRule="atLeast" w:line="240"/>
              <w:rPr>
                <w:sz w:val="22"/>
              </w:rPr>
            </w:pPr>
            <w:r>
              <w:rPr>
                <w:sz w:val="22"/>
              </w:rPr>
              <w:t>______________________________</w:t>
            </w:r>
          </w:p>
        </w:tc>
      </w:tr>
      <w:tr>
        <w:trPr/>
        <w:tc>
          <w:tcPr>
            <w:tcW w:w="1098" w:type="dxa"/>
            <w:tcBorders/>
          </w:tcPr>
          <w:p>
            <w:pPr>
              <w:pStyle w:val="Normal"/>
              <w:keepNext w:val="true"/>
              <w:keepLines/>
              <w:snapToGrid w:val="false"/>
              <w:spacing w:lineRule="atLeast" w:line="240"/>
              <w:rPr>
                <w:sz w:val="22"/>
              </w:rPr>
            </w:pPr>
            <w:r>
              <w:rPr>
                <w:sz w:val="22"/>
              </w:rPr>
            </w:r>
          </w:p>
        </w:tc>
        <w:tc>
          <w:tcPr>
            <w:tcW w:w="4302" w:type="dxa"/>
            <w:tcBorders/>
          </w:tcPr>
          <w:p>
            <w:pPr>
              <w:pStyle w:val="Normal"/>
              <w:keepNext w:val="true"/>
              <w:keepLines/>
              <w:spacing w:lineRule="atLeast" w:line="240"/>
              <w:rPr>
                <w:sz w:val="22"/>
              </w:rPr>
            </w:pPr>
            <w:r>
              <w:rPr>
                <w:sz w:val="22"/>
              </w:rPr>
              <w:t>1400 Smith Street</w:t>
            </w:r>
          </w:p>
        </w:tc>
        <w:tc>
          <w:tcPr>
            <w:tcW w:w="1618" w:type="dxa"/>
            <w:tcBorders/>
          </w:tcPr>
          <w:p>
            <w:pPr>
              <w:pStyle w:val="Normal"/>
              <w:keepNext w:val="true"/>
              <w:keepLines/>
              <w:snapToGrid w:val="false"/>
              <w:spacing w:lineRule="atLeast" w:line="240"/>
              <w:rPr>
                <w:sz w:val="22"/>
              </w:rPr>
            </w:pPr>
            <w:r>
              <w:rPr>
                <w:sz w:val="22"/>
              </w:rPr>
            </w:r>
          </w:p>
        </w:tc>
        <w:tc>
          <w:tcPr>
            <w:tcW w:w="3530" w:type="dxa"/>
            <w:tcBorders/>
          </w:tcPr>
          <w:p>
            <w:pPr>
              <w:pStyle w:val="Normal"/>
              <w:keepNext w:val="true"/>
              <w:keepLines/>
              <w:tabs>
                <w:tab w:val="clear" w:pos="720"/>
                <w:tab w:val="right" w:pos="2988" w:leader="none"/>
              </w:tabs>
              <w:spacing w:lineRule="atLeast" w:line="240"/>
              <w:rPr>
                <w:sz w:val="22"/>
              </w:rPr>
            </w:pPr>
            <w:r>
              <w:rPr>
                <w:sz w:val="22"/>
              </w:rPr>
              <w:t>______________________________</w:t>
            </w:r>
          </w:p>
        </w:tc>
      </w:tr>
      <w:tr>
        <w:trPr/>
        <w:tc>
          <w:tcPr>
            <w:tcW w:w="1098" w:type="dxa"/>
            <w:tcBorders/>
          </w:tcPr>
          <w:p>
            <w:pPr>
              <w:pStyle w:val="Normal"/>
              <w:keepNext w:val="true"/>
              <w:keepLines/>
              <w:snapToGrid w:val="false"/>
              <w:spacing w:lineRule="atLeast" w:line="240"/>
              <w:rPr>
                <w:sz w:val="22"/>
              </w:rPr>
            </w:pPr>
            <w:r>
              <w:rPr>
                <w:sz w:val="22"/>
              </w:rPr>
            </w:r>
          </w:p>
        </w:tc>
        <w:tc>
          <w:tcPr>
            <w:tcW w:w="4302" w:type="dxa"/>
            <w:tcBorders/>
          </w:tcPr>
          <w:p>
            <w:pPr>
              <w:pStyle w:val="Normal"/>
              <w:keepNext w:val="true"/>
              <w:keepLines/>
              <w:spacing w:lineRule="atLeast" w:line="240"/>
              <w:rPr>
                <w:sz w:val="22"/>
              </w:rPr>
            </w:pPr>
            <w:r>
              <w:rPr>
                <w:sz w:val="22"/>
              </w:rPr>
              <w:t>Houston, Texas  77002</w:t>
            </w:r>
          </w:p>
        </w:tc>
        <w:tc>
          <w:tcPr>
            <w:tcW w:w="1618" w:type="dxa"/>
            <w:tcBorders/>
          </w:tcPr>
          <w:p>
            <w:pPr>
              <w:pStyle w:val="Normal"/>
              <w:keepNext w:val="true"/>
              <w:keepLines/>
              <w:snapToGrid w:val="false"/>
              <w:spacing w:lineRule="atLeast" w:line="240"/>
              <w:rPr>
                <w:sz w:val="22"/>
              </w:rPr>
            </w:pPr>
            <w:r>
              <w:rPr>
                <w:sz w:val="22"/>
              </w:rPr>
            </w:r>
          </w:p>
        </w:tc>
        <w:tc>
          <w:tcPr>
            <w:tcW w:w="3530" w:type="dxa"/>
            <w:tcBorders/>
          </w:tcPr>
          <w:p>
            <w:pPr>
              <w:pStyle w:val="Normal"/>
              <w:keepNext w:val="true"/>
              <w:keepLines/>
              <w:tabs>
                <w:tab w:val="clear" w:pos="720"/>
                <w:tab w:val="right" w:pos="2988" w:leader="none"/>
              </w:tabs>
              <w:spacing w:lineRule="atLeast" w:line="240"/>
              <w:rPr>
                <w:sz w:val="22"/>
              </w:rPr>
            </w:pPr>
            <w:r>
              <w:rPr>
                <w:sz w:val="22"/>
              </w:rPr>
              <w:t>______________________________</w:t>
            </w:r>
          </w:p>
        </w:tc>
      </w:tr>
      <w:tr>
        <w:trPr/>
        <w:tc>
          <w:tcPr>
            <w:tcW w:w="1098" w:type="dxa"/>
            <w:tcBorders/>
          </w:tcPr>
          <w:p>
            <w:pPr>
              <w:pStyle w:val="Normal"/>
              <w:keepNext w:val="true"/>
              <w:keepLines/>
              <w:snapToGrid w:val="false"/>
              <w:spacing w:lineRule="atLeast" w:line="240"/>
              <w:rPr>
                <w:sz w:val="22"/>
              </w:rPr>
            </w:pPr>
            <w:r>
              <w:rPr>
                <w:sz w:val="22"/>
              </w:rPr>
            </w:r>
          </w:p>
        </w:tc>
        <w:tc>
          <w:tcPr>
            <w:tcW w:w="4302" w:type="dxa"/>
            <w:tcBorders/>
          </w:tcPr>
          <w:p>
            <w:pPr>
              <w:pStyle w:val="Normal"/>
              <w:keepNext w:val="true"/>
              <w:keepLines/>
              <w:spacing w:lineRule="atLeast" w:line="240"/>
              <w:rPr>
                <w:sz w:val="22"/>
              </w:rPr>
            </w:pPr>
            <w:r>
              <w:rPr>
                <w:sz w:val="22"/>
              </w:rPr>
              <w:t>Attn.:</w:t>
              <w:tab/>
              <w:t>Director, Documentation Department</w:t>
            </w:r>
          </w:p>
        </w:tc>
        <w:tc>
          <w:tcPr>
            <w:tcW w:w="1618" w:type="dxa"/>
            <w:tcBorders/>
          </w:tcPr>
          <w:p>
            <w:pPr>
              <w:pStyle w:val="Normal"/>
              <w:keepNext w:val="true"/>
              <w:keepLines/>
              <w:snapToGrid w:val="false"/>
              <w:spacing w:lineRule="atLeast" w:line="240"/>
              <w:rPr>
                <w:sz w:val="22"/>
              </w:rPr>
            </w:pPr>
            <w:r>
              <w:rPr>
                <w:sz w:val="22"/>
              </w:rPr>
            </w:r>
          </w:p>
        </w:tc>
        <w:tc>
          <w:tcPr>
            <w:tcW w:w="3530" w:type="dxa"/>
            <w:tcBorders/>
          </w:tcPr>
          <w:p>
            <w:pPr>
              <w:pStyle w:val="Normal"/>
              <w:keepNext w:val="true"/>
              <w:keepLines/>
              <w:tabs>
                <w:tab w:val="clear" w:pos="720"/>
                <w:tab w:val="right" w:pos="2988" w:leader="none"/>
              </w:tabs>
              <w:spacing w:lineRule="atLeast" w:line="240"/>
              <w:rPr>
                <w:sz w:val="22"/>
              </w:rPr>
            </w:pPr>
            <w:r>
              <w:rPr>
                <w:sz w:val="22"/>
              </w:rPr>
              <w:t>Attn.:</w:t>
            </w:r>
            <w:r>
              <w:rPr>
                <w:sz w:val="22"/>
                <w:u w:val="single"/>
              </w:rPr>
              <w:tab/>
            </w:r>
          </w:p>
        </w:tc>
      </w:tr>
      <w:tr>
        <w:trPr/>
        <w:tc>
          <w:tcPr>
            <w:tcW w:w="1098" w:type="dxa"/>
            <w:tcBorders/>
          </w:tcPr>
          <w:p>
            <w:pPr>
              <w:pStyle w:val="Normal"/>
              <w:keepNext w:val="true"/>
              <w:keepLines/>
              <w:snapToGrid w:val="false"/>
              <w:spacing w:lineRule="atLeast" w:line="240"/>
              <w:rPr>
                <w:sz w:val="22"/>
              </w:rPr>
            </w:pPr>
            <w:r>
              <w:rPr>
                <w:sz w:val="22"/>
              </w:rPr>
            </w:r>
          </w:p>
        </w:tc>
        <w:tc>
          <w:tcPr>
            <w:tcW w:w="4302" w:type="dxa"/>
            <w:tcBorders/>
          </w:tcPr>
          <w:p>
            <w:pPr>
              <w:pStyle w:val="Normal"/>
              <w:keepNext w:val="true"/>
              <w:keepLines/>
              <w:spacing w:lineRule="atLeast" w:line="240"/>
              <w:rPr>
                <w:sz w:val="22"/>
              </w:rPr>
            </w:pPr>
            <w:r>
              <w:rPr>
                <w:sz w:val="22"/>
              </w:rPr>
              <w:t>Fax No.:  (713) 646-4816</w:t>
            </w:r>
          </w:p>
        </w:tc>
        <w:tc>
          <w:tcPr>
            <w:tcW w:w="1618" w:type="dxa"/>
            <w:tcBorders/>
          </w:tcPr>
          <w:p>
            <w:pPr>
              <w:pStyle w:val="Normal"/>
              <w:keepNext w:val="true"/>
              <w:keepLines/>
              <w:snapToGrid w:val="false"/>
              <w:spacing w:lineRule="atLeast" w:line="240"/>
              <w:rPr>
                <w:sz w:val="22"/>
              </w:rPr>
            </w:pPr>
            <w:r>
              <w:rPr>
                <w:sz w:val="22"/>
              </w:rPr>
            </w:r>
          </w:p>
        </w:tc>
        <w:tc>
          <w:tcPr>
            <w:tcW w:w="3530" w:type="dxa"/>
            <w:tcBorders/>
          </w:tcPr>
          <w:p>
            <w:pPr>
              <w:pStyle w:val="Normal"/>
              <w:keepNext w:val="true"/>
              <w:keepLines/>
              <w:tabs>
                <w:tab w:val="clear" w:pos="720"/>
                <w:tab w:val="right" w:pos="2988" w:leader="none"/>
              </w:tabs>
              <w:spacing w:lineRule="atLeast" w:line="240"/>
              <w:rPr>
                <w:sz w:val="22"/>
              </w:rPr>
            </w:pPr>
            <w:r>
              <w:rPr>
                <w:sz w:val="22"/>
              </w:rPr>
              <w:t>Fax No.:</w:t>
            </w:r>
            <w:r>
              <w:rPr>
                <w:sz w:val="22"/>
                <w:u w:val="single"/>
              </w:rPr>
              <w:tab/>
            </w:r>
          </w:p>
        </w:tc>
      </w:tr>
    </w:tbl>
    <w:p>
      <w:pPr>
        <w:pStyle w:val="Normal"/>
        <w:spacing w:lineRule="exact" w:line="240"/>
        <w:ind w:start="3600" w:end="720"/>
        <w:jc w:val="both"/>
        <w:rPr>
          <w:sz w:val="22"/>
        </w:rPr>
      </w:pPr>
      <w:r>
        <w:rPr>
          <w:sz w:val="22"/>
        </w:rPr>
      </w:r>
    </w:p>
    <w:tbl>
      <w:tblPr>
        <w:tblW w:w="5400" w:type="dxa"/>
        <w:jc w:val="start"/>
        <w:tblInd w:w="0" w:type="dxa"/>
        <w:tblLayout w:type="fixed"/>
        <w:tblCellMar>
          <w:top w:w="0" w:type="dxa"/>
          <w:start w:w="108" w:type="dxa"/>
          <w:bottom w:w="0" w:type="dxa"/>
          <w:end w:w="108" w:type="dxa"/>
        </w:tblCellMar>
      </w:tblPr>
      <w:tblGrid>
        <w:gridCol w:w="1098"/>
        <w:gridCol w:w="4302"/>
      </w:tblGrid>
      <w:tr>
        <w:trPr/>
        <w:tc>
          <w:tcPr>
            <w:tcW w:w="1098" w:type="dxa"/>
            <w:tcBorders/>
          </w:tcPr>
          <w:p>
            <w:pPr>
              <w:pStyle w:val="Normal"/>
              <w:keepNext w:val="true"/>
              <w:keepLines/>
              <w:snapToGrid w:val="false"/>
              <w:spacing w:lineRule="atLeast" w:line="240"/>
              <w:rPr>
                <w:sz w:val="22"/>
              </w:rPr>
            </w:pPr>
            <w:r>
              <w:rPr>
                <w:sz w:val="22"/>
              </w:rPr>
            </w:r>
          </w:p>
        </w:tc>
        <w:tc>
          <w:tcPr>
            <w:tcW w:w="4302" w:type="dxa"/>
            <w:tcBorders/>
          </w:tcPr>
          <w:p>
            <w:pPr>
              <w:pStyle w:val="Normal"/>
              <w:keepNext w:val="true"/>
              <w:keepLines/>
              <w:snapToGrid w:val="false"/>
              <w:spacing w:lineRule="atLeast" w:line="240"/>
              <w:rPr>
                <w:sz w:val="22"/>
              </w:rPr>
            </w:pPr>
            <w:r>
              <w:rPr>
                <w:sz w:val="22"/>
              </w:rPr>
            </w:r>
          </w:p>
        </w:tc>
      </w:tr>
      <w:tr>
        <w:trPr/>
        <w:tc>
          <w:tcPr>
            <w:tcW w:w="1098" w:type="dxa"/>
            <w:tcBorders/>
          </w:tcPr>
          <w:p>
            <w:pPr>
              <w:pStyle w:val="Normal"/>
              <w:keepNext w:val="true"/>
              <w:keepLines/>
              <w:snapToGrid w:val="false"/>
              <w:spacing w:lineRule="atLeast" w:line="240"/>
              <w:rPr>
                <w:sz w:val="22"/>
              </w:rPr>
            </w:pPr>
            <w:r>
              <w:rPr>
                <w:sz w:val="22"/>
              </w:rPr>
            </w:r>
          </w:p>
        </w:tc>
        <w:tc>
          <w:tcPr>
            <w:tcW w:w="4302" w:type="dxa"/>
            <w:tcBorders/>
          </w:tcPr>
          <w:p>
            <w:pPr>
              <w:pStyle w:val="Normal"/>
              <w:keepNext w:val="true"/>
              <w:keepLines/>
              <w:snapToGrid w:val="false"/>
              <w:spacing w:lineRule="atLeast" w:line="240"/>
              <w:rPr>
                <w:sz w:val="22"/>
              </w:rPr>
            </w:pPr>
            <w:r>
              <w:rPr>
                <w:sz w:val="22"/>
              </w:rPr>
            </w:r>
          </w:p>
        </w:tc>
      </w:tr>
      <w:tr>
        <w:trPr/>
        <w:tc>
          <w:tcPr>
            <w:tcW w:w="1098" w:type="dxa"/>
            <w:tcBorders/>
          </w:tcPr>
          <w:p>
            <w:pPr>
              <w:pStyle w:val="Normal"/>
              <w:keepNext w:val="true"/>
              <w:keepLines/>
              <w:snapToGrid w:val="false"/>
              <w:spacing w:lineRule="atLeast" w:line="240"/>
              <w:rPr>
                <w:sz w:val="22"/>
              </w:rPr>
            </w:pPr>
            <w:r>
              <w:rPr>
                <w:sz w:val="22"/>
              </w:rPr>
            </w:r>
          </w:p>
        </w:tc>
        <w:tc>
          <w:tcPr>
            <w:tcW w:w="4302" w:type="dxa"/>
            <w:tcBorders/>
          </w:tcPr>
          <w:p>
            <w:pPr>
              <w:pStyle w:val="Normal"/>
              <w:keepNext w:val="true"/>
              <w:keepLines/>
              <w:snapToGrid w:val="false"/>
              <w:spacing w:lineRule="atLeast" w:line="240"/>
              <w:rPr>
                <w:sz w:val="22"/>
              </w:rPr>
            </w:pPr>
            <w:r>
              <w:rPr>
                <w:sz w:val="22"/>
              </w:rPr>
            </w:r>
          </w:p>
        </w:tc>
      </w:tr>
      <w:tr>
        <w:trPr/>
        <w:tc>
          <w:tcPr>
            <w:tcW w:w="1098" w:type="dxa"/>
            <w:tcBorders/>
          </w:tcPr>
          <w:p>
            <w:pPr>
              <w:pStyle w:val="Normal"/>
              <w:keepNext w:val="true"/>
              <w:keepLines/>
              <w:snapToGrid w:val="false"/>
              <w:spacing w:lineRule="atLeast" w:line="240"/>
              <w:rPr>
                <w:sz w:val="22"/>
              </w:rPr>
            </w:pPr>
            <w:r>
              <w:rPr>
                <w:sz w:val="22"/>
              </w:rPr>
            </w:r>
          </w:p>
        </w:tc>
        <w:tc>
          <w:tcPr>
            <w:tcW w:w="4302" w:type="dxa"/>
            <w:tcBorders/>
          </w:tcPr>
          <w:p>
            <w:pPr>
              <w:pStyle w:val="Normal"/>
              <w:keepNext w:val="true"/>
              <w:keepLines/>
              <w:snapToGrid w:val="false"/>
              <w:spacing w:lineRule="atLeast" w:line="240"/>
              <w:rPr>
                <w:sz w:val="22"/>
              </w:rPr>
            </w:pPr>
            <w:r>
              <w:rPr>
                <w:sz w:val="22"/>
              </w:rPr>
            </w:r>
          </w:p>
        </w:tc>
      </w:tr>
      <w:tr>
        <w:trPr/>
        <w:tc>
          <w:tcPr>
            <w:tcW w:w="1098" w:type="dxa"/>
            <w:tcBorders/>
          </w:tcPr>
          <w:p>
            <w:pPr>
              <w:pStyle w:val="Normal"/>
              <w:keepNext w:val="true"/>
              <w:keepLines/>
              <w:snapToGrid w:val="false"/>
              <w:spacing w:lineRule="atLeast" w:line="240"/>
              <w:rPr>
                <w:sz w:val="22"/>
              </w:rPr>
            </w:pPr>
            <w:r>
              <w:rPr>
                <w:sz w:val="22"/>
              </w:rPr>
            </w:r>
          </w:p>
        </w:tc>
        <w:tc>
          <w:tcPr>
            <w:tcW w:w="4302" w:type="dxa"/>
            <w:tcBorders/>
          </w:tcPr>
          <w:p>
            <w:pPr>
              <w:pStyle w:val="Normal"/>
              <w:keepNext w:val="true"/>
              <w:keepLines/>
              <w:snapToGrid w:val="false"/>
              <w:spacing w:lineRule="atLeast" w:line="240"/>
              <w:rPr>
                <w:sz w:val="22"/>
              </w:rPr>
            </w:pPr>
            <w:r>
              <w:rPr>
                <w:sz w:val="22"/>
              </w:rPr>
            </w:r>
          </w:p>
        </w:tc>
      </w:tr>
    </w:tbl>
    <w:p>
      <w:pPr>
        <w:pStyle w:val="Normal"/>
        <w:spacing w:lineRule="exact" w:line="240"/>
        <w:ind w:start="3600" w:end="72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8.</w:t>
        <w:tab/>
      </w:r>
      <w:r>
        <w:rPr>
          <w:sz w:val="22"/>
          <w:u w:val="single"/>
        </w:rPr>
        <w:t>MISCELLANEOUS</w:t>
      </w:r>
      <w:r>
        <w:rPr>
          <w:sz w:val="22"/>
        </w:rPr>
        <w:t xml:space="preserve">.  </w:t>
      </w:r>
      <w:r>
        <w:rPr>
          <w:b/>
          <w:sz w:val="22"/>
        </w:rPr>
        <w:t>THIS GUARANTY SHALL IN ALL RESPECTS BE GOVERNED BY, AND CONSTRUED IN ACCORDANCE WITH, THE LAW OF THE STATE OF TEXAS, WITHOUT REGARD TO PRINCIPLES OF CONFLICTS OF LAWS.</w:t>
      </w:r>
      <w:r>
        <w:rPr>
          <w:sz w:val="22"/>
        </w:rPr>
        <w:t xml:space="preserve">  This Guaranty shall be binding upon Guarantor, its successors and assigns and inure to the benefit of and be enforceable by ENA and the ENA Affiliates, their respective successors and assigns.  The Guaranty embodies the entire agreement and understanding between Guarantor, ENA and the ENA Affiliates and supersedes all prior agreements and understandings relating to the subject matter hereof. The headings in this Guaranty are for purposes of reference only, and shall not affect the meaning hereof.</w:t>
      </w:r>
    </w:p>
    <w:p>
      <w:pPr>
        <w:pStyle w:val="Normal"/>
        <w:spacing w:lineRule="atLeast" w:line="240"/>
        <w:jc w:val="both"/>
        <w:rPr>
          <w:sz w:val="22"/>
        </w:rPr>
      </w:pPr>
      <w:r>
        <w:rPr>
          <w:sz w:val="22"/>
        </w:rPr>
      </w:r>
    </w:p>
    <w:p>
      <w:pPr>
        <w:pStyle w:val="Normal"/>
        <w:spacing w:lineRule="atLeast" w:line="240"/>
        <w:ind w:firstLine="720" w:end="0"/>
        <w:jc w:val="both"/>
        <w:rPr/>
      </w:pPr>
      <w:r>
        <w:rPr>
          <w:sz w:val="22"/>
        </w:rPr>
        <w:t>[9.</w:t>
        <w:tab/>
      </w:r>
      <w:r>
        <w:rPr>
          <w:sz w:val="22"/>
          <w:u w:val="single"/>
        </w:rPr>
        <w:t>REAFFIRMATION OF OBLIGATIONS</w:t>
      </w:r>
      <w:r>
        <w:rPr>
          <w:sz w:val="22"/>
        </w:rPr>
        <w:t>.</w:t>
        <w:tab/>
        <w:t>Guarantor hereby ratifies, confirms, reaffirms and acknowledges its obligations under the Original Guaranty and acknowledges and agrees that such obligations shall remain in full force and effect under the Original Guaranty, as amended and restated by this Guaranty.  ]</w:t>
      </w:r>
    </w:p>
    <w:p>
      <w:pPr>
        <w:pStyle w:val="Normal"/>
        <w:spacing w:lineRule="atLeast" w:line="240"/>
        <w:jc w:val="both"/>
        <w:rPr>
          <w:sz w:val="22"/>
        </w:rPr>
      </w:pPr>
      <w:r>
        <w:rPr>
          <w:sz w:val="22"/>
        </w:rPr>
      </w:r>
    </w:p>
    <w:p>
      <w:pPr>
        <w:pStyle w:val="Normal"/>
        <w:spacing w:lineRule="atLeast" w:line="240"/>
        <w:ind w:firstLine="720" w:end="0"/>
        <w:jc w:val="both"/>
        <w:rPr>
          <w:sz w:val="22"/>
        </w:rPr>
      </w:pPr>
      <w:r>
        <w:rPr>
          <w:sz w:val="22"/>
        </w:rPr>
        <w:t>IN WITNESS WHEREOF, the Guarantor has executed this Guaranty effective as of the date first above written.</w:t>
      </w:r>
    </w:p>
    <w:p>
      <w:pPr>
        <w:pStyle w:val="Normal"/>
        <w:keepNext w:val="true"/>
        <w:keepLines/>
        <w:spacing w:lineRule="atLeast" w:line="240"/>
        <w:jc w:val="both"/>
        <w:rPr>
          <w:b/>
          <w:sz w:val="22"/>
        </w:rPr>
      </w:pPr>
      <w:r>
        <w:rPr>
          <w:b/>
          <w:sz w:val="22"/>
        </w:rPr>
      </w:r>
    </w:p>
    <w:p>
      <w:pPr>
        <w:pStyle w:val="Normal"/>
        <w:keepNext w:val="true"/>
        <w:keepLines/>
        <w:spacing w:lineRule="exact" w:line="240"/>
        <w:ind w:start="5040" w:end="0"/>
        <w:jc w:val="both"/>
        <w:rPr>
          <w:sz w:val="22"/>
        </w:rPr>
      </w:pPr>
      <w:r>
        <w:rPr>
          <w:sz w:val="22"/>
        </w:rPr>
        <w:t>______________________________________</w:t>
      </w:r>
    </w:p>
    <w:p>
      <w:pPr>
        <w:pStyle w:val="Normal"/>
        <w:keepNext w:val="true"/>
        <w:keepLines/>
        <w:spacing w:lineRule="exact" w:line="240"/>
        <w:ind w:start="5040" w:end="0"/>
        <w:jc w:val="both"/>
        <w:rPr>
          <w:sz w:val="22"/>
        </w:rPr>
      </w:pPr>
      <w:r>
        <w:rPr>
          <w:sz w:val="22"/>
        </w:rPr>
      </w:r>
    </w:p>
    <w:p>
      <w:pPr>
        <w:pStyle w:val="Normal"/>
        <w:keepNext w:val="true"/>
        <w:keepLines/>
        <w:spacing w:lineRule="exact" w:line="240"/>
        <w:ind w:start="5040" w:end="0"/>
        <w:jc w:val="both"/>
        <w:rPr>
          <w:sz w:val="22"/>
        </w:rPr>
      </w:pPr>
      <w:r>
        <w:rPr>
          <w:sz w:val="22"/>
        </w:rPr>
        <w:t xml:space="preserve">By:  </w:t>
      </w:r>
      <w:r>
        <w:rPr>
          <w:sz w:val="22"/>
          <w:u w:val="single"/>
        </w:rPr>
        <w:tab/>
        <w:tab/>
        <w:tab/>
        <w:tab/>
        <w:tab/>
        <w:tab/>
      </w:r>
    </w:p>
    <w:p>
      <w:pPr>
        <w:pStyle w:val="Normal"/>
        <w:keepNext w:val="true"/>
        <w:keepLines/>
        <w:spacing w:lineRule="atLeast" w:line="240"/>
        <w:ind w:start="5040" w:end="0"/>
        <w:jc w:val="both"/>
        <w:rPr>
          <w:sz w:val="22"/>
        </w:rPr>
      </w:pPr>
      <w:r>
        <w:rPr>
          <w:sz w:val="22"/>
        </w:rPr>
        <w:t xml:space="preserve">Name:  </w:t>
      </w:r>
      <w:r>
        <w:rPr>
          <w:sz w:val="22"/>
          <w:u w:val="single"/>
        </w:rPr>
        <w:tab/>
        <w:tab/>
        <w:tab/>
        <w:tab/>
        <w:tab/>
        <w:tab/>
      </w:r>
    </w:p>
    <w:p>
      <w:pPr>
        <w:pStyle w:val="Normal"/>
        <w:keepNext w:val="true"/>
        <w:keepLines/>
        <w:spacing w:lineRule="atLeast" w:line="240"/>
        <w:ind w:start="5040" w:end="0"/>
        <w:jc w:val="both"/>
        <w:rPr/>
      </w:pPr>
      <w:r>
        <w:rPr>
          <w:sz w:val="22"/>
        </w:rPr>
        <w:t xml:space="preserve">Title:  </w:t>
      </w:r>
      <w:r>
        <w:rPr>
          <w:sz w:val="22"/>
          <w:u w:val="single"/>
        </w:rPr>
        <w:tab/>
        <w:tab/>
        <w:tab/>
        <w:tab/>
        <w:tab/>
        <w:tab/>
      </w:r>
    </w:p>
    <w:p>
      <w:pPr>
        <w:pStyle w:val="Normal"/>
        <w:keepNext w:val="true"/>
        <w:keepLines/>
        <w:spacing w:lineRule="atLeast" w:line="240"/>
        <w:ind w:start="5040" w:end="0"/>
        <w:jc w:val="both"/>
        <w:rPr>
          <w:sz w:val="22"/>
        </w:rPr>
      </w:pPr>
      <w:r>
        <w:rPr>
          <w:sz w:val="22"/>
        </w:rPr>
        <w:t xml:space="preserve">Date:  </w:t>
      </w:r>
      <w:r>
        <w:rPr>
          <w:sz w:val="22"/>
          <w:u w:val="single"/>
        </w:rPr>
        <w:tab/>
        <w:tab/>
        <w:tab/>
        <w:tab/>
        <w:tab/>
        <w:tab/>
      </w:r>
    </w:p>
    <w:p>
      <w:pPr>
        <w:pStyle w:val="Normal"/>
        <w:rPr>
          <w:sz w:val="22"/>
        </w:rPr>
      </w:pPr>
      <w:r>
        <w:rPr>
          <w:sz w:val="22"/>
        </w:rPr>
      </w:r>
    </w:p>
    <w:sectPr>
      <w:headerReference w:type="default" r:id="rId2"/>
      <w:footerReference w:type="default" r:id="rId3"/>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t>Guarantymulti counterparty</w:t>
    </w:r>
  </w:p>
  <w:p>
    <w:pPr>
      <w:pStyle w:val="Footer"/>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4</w:t>
    </w:r>
    <w:r>
      <w:rPr>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
      <w:lvlJc w:val="start"/>
      <w:pPr>
        <w:tabs>
          <w:tab w:val="num" w:pos="360"/>
        </w:tabs>
        <w:ind w:start="1080" w:hanging="360"/>
      </w:pPr>
      <w:rPr>
        <w:sz w:val="22"/>
        <w:i w:val="false"/>
        <w:u w:val="none"/>
        <w:b w:val="false"/>
        <w:rFonts w:ascii="Times New Roman" w:hAnsi="Times New Roman" w:cs="Times New Roman"/>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style>
  <w:style w:type="character" w:styleId="WW8Num3z0">
    <w:name w:val="WW8Num3z0"/>
    <w:qFormat/>
    <w:rPr>
      <w:rFonts w:ascii="Times New Roman" w:hAnsi="Times New Roman" w:cs="Times New Roman"/>
      <w:b w:val="false"/>
      <w:i w:val="false"/>
      <w:sz w:val="22"/>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ms Rmn;Times New Roman" w:hAnsi="Tms Rmn;Times New Roman" w:cs="Tms Rmn;Times New Roman"/>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1999-12-07T14:30:00Z</dcterms:created>
  <dc:creator>tjones</dc:creator>
  <dc:description/>
  <dc:language>en-CA</dc:language>
  <cp:lastModifiedBy>cstclai</cp:lastModifiedBy>
  <cp:lastPrinted>1999-12-07T13:36:00Z</cp:lastPrinted>
  <dcterms:modified xsi:type="dcterms:W3CDTF">1999-12-07T17:07:00Z</dcterms:modified>
  <cp:revision>3</cp:revision>
  <dc:subject/>
  <dc:title>EXHIBIT A</dc:title>
</cp:coreProperties>
</file>