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200_(the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and Enron North America Corp., a Delaware corporation and an affiliate of Guarantor (“ENA”) ___________________, a _______________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Counterparty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szCs w:val="22"/>
        </w:rPr>
      </w:pP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U.S.$___________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rPr>
      </w:pPr>
      <w:r>
        <w:rPr>
          <w:sz w:val="22"/>
        </w:rPr>
        <w:t>[ADD COUNTERPARTY,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2001-08-29T13:22:00Z</dcterms:created>
  <dc:creator>tjones</dc:creator>
  <dc:description/>
  <dc:language>en-CA</dc:language>
  <cp:lastModifiedBy>dperlin</cp:lastModifiedBy>
  <cp:lastPrinted>2001-02-28T16:47:00Z</cp:lastPrinted>
  <dcterms:modified xsi:type="dcterms:W3CDTF">2001-08-29T13:22:00Z</dcterms:modified>
  <cp:revision>2</cp:revision>
  <dc:subject/>
  <dc:title>EXHIBIT A</dc:title>
</cp:coreProperties>
</file>