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sz w:val="22"/>
        </w:rPr>
      </w:pPr>
      <w:r>
        <w:rPr>
          <w:b/>
          <w:sz w:val="22"/>
        </w:rPr>
      </w:r>
    </w:p>
    <w:p>
      <w:pPr>
        <w:pStyle w:val="Normal"/>
        <w:spacing w:lineRule="exact" w:line="240"/>
        <w:ind w:end="720"/>
        <w:jc w:val="center"/>
        <w:rPr>
          <w:sz w:val="22"/>
        </w:rPr>
      </w:pPr>
      <w:r>
        <w:rPr>
          <w:sz w:val="22"/>
        </w:rPr>
        <w:t>[ENRON GUARANTY]</w:t>
      </w:r>
    </w:p>
    <w:p>
      <w:pPr>
        <w:pStyle w:val="Normal"/>
        <w:ind w:end="720"/>
        <w:jc w:val="center"/>
        <w:rPr>
          <w:sz w:val="22"/>
        </w:rPr>
      </w:pPr>
      <w:r>
        <w:rPr>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tab/>
      </w:r>
      <w:r>
        <w:rPr>
          <w:sz w:val="22"/>
        </w:rPr>
        <w:t>, 2000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sz w:val="22"/>
        </w:rPr>
      </w:pPr>
      <w:r>
        <w:rPr>
          <w:sz w:val="22"/>
        </w:rPr>
        <w:t>WHEREAS, and Enron North America Corp., a Delaware corporation and an affiliate of Guarantor (“ENA”) _______________________, a _______________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2000,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Enron Power Marketing, Inc.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Energy Purchase and Sale Agreement dated ____________, as the same may from time to time be modified, amended and supplemented (all such Power Transactions and the agreements evidencing same, including without limitation, the Master Energy Purchase and Sale Agreement, whether entered into prior to, on or after the date hereof, as the same may be modified, amended and supplemented, shall be herein referred to collectively as the “Power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______________ (“______________”, and together with ENA and EPMI being hereinafter collectively referred to as the “Enron Parties” and individually as an “Enron Party”) have entered into and/or will enter into one or more [gas, crude oil and/or other petroleum product transactions][SO2, Nox and/or other emission credit trading product transactions][coal, bandwidth, pulp, paper and/or other wood products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Agreements dated ____________, as the same may from time to time be modified, amended and supplemented (all such Commodity Transactions and the agreements evidencing same, including without limitation, the Enfolio Master Firm Purchase/Sale Agreements,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 xml:space="preserve"> </w:t>
      </w:r>
      <w:r>
        <w:rPr>
          <w:sz w:val="22"/>
        </w:rPr>
        <w:t>[WHEREAS, Guarantor has entered into that certain Guaranty dated ____________ (the “Prior Guaranty”) for the benefit of Counterparty in connection with certain ____________ Transactions entered into by Counterparty and _____________;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 ]</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start="1440" w:end="0"/>
        <w:jc w:val="both"/>
        <w:rPr>
          <w:sz w:val="22"/>
        </w:rPr>
      </w:pPr>
      <w:r>
        <w:rPr>
          <w:sz w:val="22"/>
        </w:rPr>
        <w:t>(b)  The aggregate amount covered by this Guaranty shall not exceed $________________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$___________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the Enron Entities or any other person, or except as expressly hereinabove set forth,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spacing w:lineRule="atLeast" w:line="240"/>
        <w:ind w:firstLine="720" w:end="0"/>
        <w:jc w:val="both"/>
        <w:rPr>
          <w:sz w:val="22"/>
        </w:rPr>
      </w:pPr>
      <w:r>
        <w:rPr>
          <w:sz w:val="22"/>
        </w:rPr>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r>
    </w:p>
    <w:p>
      <w:pPr>
        <w:pStyle w:val="BodyTextIndent"/>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and its successors and assigns.  The Guaranty embodies the entire agreement and understanding between Guarantor and Counterparty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Counterparty, the Prior Guaranty shall become null and void and of no further force or effect.  Upon receipt of an originally executed copy of this Guaranty, Counterparty agrees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spacing w:lineRule="atLeast" w:line="24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sz w:val="22"/>
        </w:rPr>
      </w:pPr>
      <w:r>
        <w:rPr>
          <w:sz w:val="22"/>
        </w:rPr>
        <w:t>ENRON CORP.</w:t>
      </w:r>
    </w:p>
    <w:p>
      <w:pPr>
        <w:pStyle w:val="Normal"/>
        <w:keepNext w:val="true"/>
        <w:keepLines/>
        <w:spacing w:lineRule="exact" w:line="240"/>
        <w:ind w:start="5040" w:end="0"/>
        <w:jc w:val="both"/>
        <w:rPr>
          <w:sz w:val="22"/>
        </w:rPr>
      </w:pPr>
      <w:r>
        <w:rPr>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keepLines/>
        <w:spacing w:lineRule="atLeast" w:line="240"/>
        <w:ind w:start="5040" w:end="0"/>
        <w:jc w:val="both"/>
        <w:rPr>
          <w:sz w:val="22"/>
        </w:rPr>
      </w:pPr>
      <w:r>
        <w:rPr>
          <w:sz w:val="22"/>
        </w:rPr>
        <w:t xml:space="preserve">Date: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t>[ADD COUNTERPARTY, IF NECESSARY]</w:t>
      </w:r>
    </w:p>
    <w:sectPr>
      <w:headerReference w:type="default" r:id="rId2"/>
      <w:footerReference w:type="default" r:id="rId3"/>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Guarantymulti Enron</w:t>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2000-06-29T16:11:00Z</dcterms:created>
  <dc:creator>tjones</dc:creator>
  <dc:description/>
  <dc:language>en-CA</dc:language>
  <cp:lastModifiedBy>cstclai</cp:lastModifiedBy>
  <cp:lastPrinted>2000-06-29T17:56:00Z</cp:lastPrinted>
  <dcterms:modified xsi:type="dcterms:W3CDTF">2000-06-29T20:27:00Z</dcterms:modified>
  <cp:revision>6</cp:revision>
  <dc:subject/>
  <dc:title>EXHIBIT A</dc:title>
</cp:coreProperties>
</file>