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0" w:leader="none"/>
        </w:tabs>
        <w:ind w:hanging="0" w:start="0"/>
        <w:jc w:val="center"/>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t>SECOND AMENDMENT TO GUARANTY AGREEMENT</w:t>
      </w:r>
    </w:p>
    <w:p>
      <w:pPr>
        <w:pStyle w:val="Normal"/>
        <w:ind w:end="720"/>
        <w:jc w:val="both"/>
        <w:rPr>
          <w:rFonts w:ascii="Times New Roman" w:hAnsi="Times New Roman" w:eastAsia="Times New Roman" w:cs="Times New Roman"/>
          <w:b/>
          <w:bCs/>
          <w:sz w:val="22"/>
          <w:szCs w:val="22"/>
          <w:u w:val="single"/>
        </w:rPr>
      </w:pPr>
      <w:r>
        <w:rPr>
          <w:rFonts w:eastAsia="Times New Roman" w:cs="Times New Roman" w:ascii="Times New Roman" w:hAnsi="Times New Roman"/>
          <w:b/>
          <w:bCs/>
          <w:sz w:val="22"/>
          <w:szCs w:val="22"/>
          <w:u w:val="single"/>
        </w:rPr>
      </w:r>
    </w:p>
    <w:p>
      <w:pPr>
        <w:pStyle w:val="Normal"/>
        <w:ind w:end="72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240"/>
        <w:ind w:firstLine="720" w:end="0"/>
        <w:jc w:val="both"/>
        <w:rPr>
          <w:rFonts w:ascii="Times New Roman" w:hAnsi="Times New Roman" w:eastAsia="Times New Roman" w:cs="Times New Roman"/>
          <w:b/>
          <w:bCs/>
          <w:sz w:val="22"/>
          <w:szCs w:val="22"/>
        </w:rPr>
      </w:pPr>
      <w:r>
        <w:rPr>
          <w:rFonts w:eastAsia="Times New Roman" w:cs="Times New Roman" w:ascii="Times New Roman" w:hAnsi="Times New Roman"/>
          <w:sz w:val="22"/>
          <w:szCs w:val="22"/>
        </w:rPr>
        <w:t>The undersigned, hereby enter into this Second Amendment to Guaranty Agreement (the “Second Amendment”) dated as of June __, 2000.</w:t>
      </w:r>
    </w:p>
    <w:p>
      <w:pPr>
        <w:pStyle w:val="Normal"/>
        <w:spacing w:lineRule="atLeast" w:line="240"/>
        <w:ind w:firstLine="720" w:end="0"/>
        <w:jc w:val="both"/>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spacing w:lineRule="atLeast" w:line="240"/>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WHEREAS, pursuant to that certain Guaranty Agreement dated effective as of August 1, 1995 (the “Original Guaranty”), Formosa Plastics Corporation, USA (“Formosa Plastics” or “Guarantor”) guaranteed the payment obligations of its wholly owned subsidiary Formosa Hydrocarbons Company, Inc. (“Formosa”) with respect to physical natural gas transactions between Formosa and Houston Pipe Line Company (successor-in-interest to HPL Resources Company) (“HPL”);</w:t>
      </w:r>
    </w:p>
    <w:p>
      <w:pPr>
        <w:pStyle w:val="Normal"/>
        <w:spacing w:lineRule="atLeast" w:line="240"/>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tLeast" w:line="240"/>
        <w:ind w:firstLine="720" w:end="0"/>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WHEREAS, in addition to the aforementioned physical natural gas transactions, Formosa and Neumin Production Co. (“Neumin”), also a wholly owned subsidiary of Formosa Plastics, had entered into one or more swap, option, or other financially-settled derivative transactions with Enron North America Corp. (“ENA”); </w:t>
      </w:r>
    </w:p>
    <w:p>
      <w:pPr>
        <w:pStyle w:val="Normal"/>
        <w:suppressAutoHyphens w:val="true"/>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uppressAutoHyphens w:val="true"/>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tab/>
        <w:t>WHEREAS, pursuant to that certain First Amendment to Guaranty Agreement dated as of November 18, 1999, but effective as of August 1, 1995 (the “First Amendment”, such Original Guaranty and First Amendment being collectively referred to herein as “Guaranty”), Formosa Plastics as the parent of both Formosa and Neumin guaranteed payment of obligations of both Formosa and Neumin with respect to their financial and physical transactions with ENA and HPL; and</w:t>
      </w:r>
    </w:p>
    <w:p>
      <w:pPr>
        <w:pStyle w:val="Normal"/>
        <w:suppressAutoHyphens w:val="true"/>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tabs>
          <w:tab w:val="clear" w:pos="720"/>
          <w:tab w:val="left" w:pos="-720" w:leader="none"/>
        </w:tabs>
        <w:suppressAutoHyphens w:val="true"/>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tab/>
        <w:t xml:space="preserve">WHEREAS, Formosa Plastics continues to benefit from the transactions entered into by its wholly owned subsidiaries Formosa and Neumin and again desires amend the Guaranty; </w:t>
      </w:r>
    </w:p>
    <w:p>
      <w:pPr>
        <w:pStyle w:val="Normal"/>
        <w:tabs>
          <w:tab w:val="clear" w:pos="720"/>
          <w:tab w:val="left" w:pos="-720" w:leader="none"/>
        </w:tabs>
        <w:suppressAutoHyphens w:val="true"/>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t xml:space="preserve"> </w:t>
      </w:r>
    </w:p>
    <w:p>
      <w:pPr>
        <w:pStyle w:val="Normal"/>
        <w:tabs>
          <w:tab w:val="clear" w:pos="720"/>
          <w:tab w:val="left" w:pos="-720" w:leader="none"/>
        </w:tabs>
        <w:suppressAutoHyphens w:val="true"/>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tab/>
        <w:t>NOW THEREFORE, for and in consideration of the premises, the parties agree as follows:</w:t>
      </w:r>
    </w:p>
    <w:p>
      <w:pPr>
        <w:pStyle w:val="Normal"/>
        <w:tabs>
          <w:tab w:val="clear" w:pos="720"/>
          <w:tab w:val="left" w:pos="-720" w:leader="none"/>
        </w:tabs>
        <w:suppressAutoHyphens w:val="true"/>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r>
    </w:p>
    <w:p>
      <w:pPr>
        <w:pStyle w:val="Normal"/>
        <w:numPr>
          <w:ilvl w:val="0"/>
          <w:numId w:val="2"/>
        </w:numPr>
        <w:tabs>
          <w:tab w:val="left" w:pos="0" w:leader="none"/>
          <w:tab w:val="left" w:pos="720" w:leader="none"/>
        </w:tabs>
        <w:suppressAutoHyphens w:val="true"/>
        <w:ind w:hanging="360" w:start="1440" w:end="720"/>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t>Section 2 of the Guaranty is hereby deleted in its entirety and replaced with the following:</w:t>
      </w:r>
    </w:p>
    <w:p>
      <w:pPr>
        <w:pStyle w:val="Normal"/>
        <w:tabs>
          <w:tab w:val="clear" w:pos="720"/>
          <w:tab w:val="left" w:pos="-720" w:leader="none"/>
        </w:tabs>
        <w:suppressAutoHyphens w:val="true"/>
        <w:ind w:end="720"/>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r>
    </w:p>
    <w:p>
      <w:pPr>
        <w:pStyle w:val="Normal"/>
        <w:tabs>
          <w:tab w:val="clear" w:pos="720"/>
          <w:tab w:val="left" w:pos="-720" w:leader="none"/>
          <w:tab w:val="left" w:pos="1800" w:leader="none"/>
        </w:tabs>
        <w:suppressAutoHyphens w:val="true"/>
        <w:ind w:start="1080" w:end="720"/>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t>“</w:t>
      </w:r>
      <w:r>
        <w:rPr>
          <w:rFonts w:eastAsia="Times New Roman" w:cs="Times New Roman" w:ascii="Times New Roman" w:hAnsi="Times New Roman"/>
          <w:spacing w:val="-2"/>
          <w:sz w:val="22"/>
          <w:szCs w:val="22"/>
        </w:rPr>
        <w:t>2.</w:t>
        <w:tab/>
        <w:t>This is an unlimited guaranty of all payment Obligations.  In addition, Guarantor shall pay all reasonable expenses, including, without limitation, attorneys’ fees, court costs and similar costs, of Contract Party in the event of judgment, settlement or other enforcement against Guarantor.  This Guaranty shall not be affected by the number or type of outstanding Transactions or the holding or application of any collateral by Contract Party.”</w:t>
      </w:r>
    </w:p>
    <w:p>
      <w:pPr>
        <w:pStyle w:val="Normal"/>
        <w:jc w:val="both"/>
        <w:rPr>
          <w:rFonts w:ascii="Times New Roman" w:hAnsi="Times New Roman" w:eastAsia="Times New Roman" w:cs="Times New Roman"/>
          <w:spacing w:val="-2"/>
          <w:sz w:val="22"/>
          <w:szCs w:val="22"/>
        </w:rPr>
      </w:pPr>
      <w:r>
        <w:rPr>
          <w:rFonts w:eastAsia="Times New Roman" w:cs="Times New Roman" w:ascii="Times New Roman" w:hAnsi="Times New Roman"/>
          <w:spacing w:val="-2"/>
          <w:sz w:val="22"/>
          <w:szCs w:val="22"/>
        </w:rPr>
      </w:r>
    </w:p>
    <w:p>
      <w:pPr>
        <w:pStyle w:val="WW-BodyText2"/>
        <w:ind w:hanging="0" w:start="720" w:end="0"/>
        <w:rPr/>
      </w:pPr>
      <w:r>
        <w:rPr/>
        <w:t>2.</w:t>
        <w:tab/>
        <w:t>Except as amended hereby, all other terms and conditions of the Guaranty shall remain the same and in full force and effect.</w:t>
      </w:r>
    </w:p>
    <w:p>
      <w:pPr>
        <w:pStyle w:val="BodyText2"/>
        <w:keepNext w:val="false"/>
        <w:widowControl w:val="false"/>
        <w:ind w:hanging="0" w:end="0"/>
        <w:rPr/>
      </w:pPr>
      <w:r>
        <w:rPr/>
      </w:r>
    </w:p>
    <w:p>
      <w:pPr>
        <w:pStyle w:val="BodyText2"/>
        <w:widowControl w:val="false"/>
        <w:rPr/>
      </w:pPr>
      <w:r>
        <w:rPr/>
        <w:t>IN WITNESS WHEREOF, the parties have executed this Second Amendment to Guaranty Agreement effective as of the date first written above.</w:t>
      </w:r>
    </w:p>
    <w:p>
      <w:pPr>
        <w:pStyle w:val="Normal"/>
        <w:keepNext w:val="true"/>
        <w:widowControl w:val="false"/>
        <w:spacing w:lineRule="atLeast" w:line="240"/>
        <w:jc w:val="both"/>
        <w:rPr/>
      </w:pPr>
      <w:r>
        <w:rPr/>
      </w:r>
    </w:p>
    <w:p>
      <w:pPr>
        <w:pStyle w:val="Normal"/>
        <w:keepNext w:val="true"/>
        <w:widowControl w:val="false"/>
        <w:spacing w:lineRule="atLeast" w:line="240"/>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pacing w:lineRule="exact" w:line="240"/>
              <w:jc w:val="both"/>
              <w:rPr>
                <w:b/>
                <w:bCs/>
                <w:color w:val="000000"/>
                <w:sz w:val="22"/>
                <w:szCs w:val="22"/>
              </w:rPr>
            </w:pPr>
            <w:r>
              <w:rPr>
                <w:b/>
                <w:bCs/>
              </w:rPr>
              <w:t>CONTRACT PARTIES:</w:t>
            </w:r>
          </w:p>
        </w:tc>
        <w:tc>
          <w:tcPr>
            <w:tcW w:w="4788" w:type="dxa"/>
            <w:tcBorders>
              <w:top w:val="dashed" w:sz="6" w:space="0" w:color="auto"/>
              <w:start w:val="dashed" w:sz="6" w:space="0" w:color="auto"/>
              <w:bottom w:val="dashed" w:sz="6" w:space="0" w:color="auto"/>
              <w:end w:val="dashed" w:sz="6" w:space="0" w:color="auto"/>
            </w:tcBorders>
          </w:tcPr>
          <w:p>
            <w:pPr>
              <w:pStyle w:val="BodyText3"/>
              <w:jc w:val="start"/>
              <w:rPr/>
            </w:pPr>
            <w:r>
              <w:rPr/>
              <w:t>GUARANTOR:</w:t>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color w:val="000000"/>
                <w:sz w:val="22"/>
                <w:szCs w:val="22"/>
              </w:rPr>
            </w:pPr>
            <w:r>
              <w:rPr>
                <w:b/>
                <w:bCs/>
                <w:color w:val="000000"/>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snapToGrid w:val="false"/>
              <w:jc w:val="start"/>
              <w:rPr>
                <w:b/>
                <w:bCs/>
                <w:color w:val="000000"/>
                <w:sz w:val="22"/>
                <w:szCs w:val="22"/>
              </w:rPr>
            </w:pPr>
            <w:r>
              <w:rPr>
                <w:b/>
                <w:bCs/>
                <w:color w:val="000000"/>
                <w:sz w:val="22"/>
                <w:szCs w:val="22"/>
              </w:rPr>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pacing w:lineRule="exact" w:line="240"/>
              <w:jc w:val="both"/>
              <w:rPr>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color w:val="000000"/>
                <w:sz w:val="22"/>
                <w:szCs w:val="22"/>
              </w:rPr>
              <w:t xml:space="preserve">Title:    </w:t>
            </w:r>
            <w:r>
              <w:rPr>
                <w:color w:val="000000"/>
                <w:sz w:val="22"/>
                <w:szCs w:val="22"/>
                <w:u w:val="single"/>
              </w:rPr>
              <w:tab/>
            </w:r>
          </w:p>
        </w:tc>
        <w:tc>
          <w:tcPr>
            <w:tcW w:w="4788" w:type="dxa"/>
            <w:tcBorders>
              <w:top w:val="dashed" w:sz="6" w:space="0" w:color="auto"/>
              <w:start w:val="dashed" w:sz="6" w:space="0" w:color="auto"/>
              <w:bottom w:val="dashed" w:sz="6" w:space="0" w:color="auto"/>
              <w:end w:val="dashed" w:sz="6" w:space="0" w:color="auto"/>
            </w:tcBorders>
          </w:tcPr>
          <w:p>
            <w:pPr>
              <w:pStyle w:val="BodyText3"/>
              <w:jc w:val="start"/>
              <w:rPr>
                <w:sz w:val="22"/>
                <w:szCs w:val="22"/>
              </w:rPr>
            </w:pPr>
            <w:r>
              <w:rPr/>
              <w:t>FORMOSA PLASTICS CORPORATION, USA</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sz w:val="22"/>
                <w:szCs w:val="22"/>
              </w:rPr>
            </w:pPr>
            <w:r>
              <w:rPr>
                <w:sz w:val="22"/>
                <w:szCs w:val="22"/>
              </w:rPr>
              <w:t>Title:</w:t>
              <w:tab/>
            </w:r>
            <w:r>
              <w:rPr>
                <w:sz w:val="22"/>
                <w:szCs w:val="22"/>
                <w:u w:val="single"/>
              </w:rPr>
              <w:tab/>
              <w:tab/>
              <w:tab/>
              <w:tab/>
              <w:tab/>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color w:val="000000"/>
                <w:sz w:val="22"/>
                <w:szCs w:val="22"/>
              </w:rPr>
            </w:pPr>
            <w:r>
              <w:rPr>
                <w:b/>
                <w:bCs/>
                <w:color w:val="000000"/>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snapToGrid w:val="false"/>
              <w:jc w:val="start"/>
              <w:rPr>
                <w:b/>
                <w:bCs/>
                <w:color w:val="000000"/>
                <w:sz w:val="22"/>
                <w:szCs w:val="22"/>
              </w:rPr>
            </w:pPr>
            <w:r>
              <w:rPr>
                <w:b/>
                <w:bCs/>
                <w:color w:val="000000"/>
                <w:sz w:val="22"/>
                <w:szCs w:val="22"/>
              </w:rPr>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color w:val="000000"/>
                <w:sz w:val="22"/>
                <w:szCs w:val="22"/>
              </w:rPr>
            </w:pPr>
            <w:r>
              <w:rPr>
                <w:b/>
                <w:bCs/>
                <w:color w:val="000000"/>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jc w:val="start"/>
              <w:rPr/>
            </w:pPr>
            <w:r>
              <w:rPr/>
              <w:t>OBLIGORS:</w:t>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color w:val="000000"/>
                <w:sz w:val="22"/>
                <w:szCs w:val="22"/>
              </w:rPr>
            </w:pPr>
            <w:r>
              <w:rPr>
                <w:b/>
                <w:bCs/>
                <w:color w:val="000000"/>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snapToGrid w:val="false"/>
              <w:jc w:val="start"/>
              <w:rPr>
                <w:b/>
                <w:bCs/>
                <w:color w:val="000000"/>
                <w:sz w:val="22"/>
                <w:szCs w:val="22"/>
              </w:rPr>
            </w:pPr>
            <w:r>
              <w:rPr>
                <w:b/>
                <w:bCs/>
                <w:color w:val="000000"/>
                <w:sz w:val="22"/>
                <w:szCs w:val="22"/>
              </w:rPr>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pacing w:lineRule="exact" w:line="240"/>
              <w:jc w:val="both"/>
              <w:rPr>
                <w:b/>
                <w:bCs/>
                <w:color w:val="800080"/>
                <w:sz w:val="22"/>
                <w:szCs w:val="22"/>
              </w:rPr>
            </w:pPr>
            <w:r>
              <w:rPr>
                <w:b/>
                <w:bCs/>
              </w:rPr>
              <w:t>HPL RESOURCES COMPANY</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tc>
        <w:tc>
          <w:tcPr>
            <w:tcW w:w="4788" w:type="dxa"/>
            <w:tcBorders>
              <w:top w:val="dashed" w:sz="6" w:space="0" w:color="auto"/>
              <w:start w:val="dashed" w:sz="6" w:space="0" w:color="auto"/>
              <w:bottom w:val="dashed" w:sz="6" w:space="0" w:color="auto"/>
              <w:end w:val="dashed" w:sz="6" w:space="0" w:color="auto"/>
            </w:tcBorders>
          </w:tcPr>
          <w:p>
            <w:pPr>
              <w:pStyle w:val="BodyText3"/>
              <w:jc w:val="start"/>
              <w:rPr>
                <w:sz w:val="22"/>
                <w:szCs w:val="22"/>
              </w:rPr>
            </w:pPr>
            <w:r>
              <w:rPr/>
              <w:t>FORMOSA HYDROCARBONS COMPANY, INC.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sz w:val="22"/>
                <w:szCs w:val="22"/>
              </w:rPr>
            </w:pPr>
            <w:r>
              <w:rPr>
                <w:sz w:val="22"/>
                <w:szCs w:val="22"/>
              </w:rPr>
              <w:t>Title:</w:t>
              <w:tab/>
            </w:r>
            <w:r>
              <w:rPr>
                <w:sz w:val="22"/>
                <w:szCs w:val="22"/>
                <w:u w:val="single"/>
              </w:rPr>
              <w:tab/>
              <w:tab/>
              <w:tab/>
              <w:tab/>
              <w:tab/>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sz w:val="22"/>
                <w:szCs w:val="22"/>
              </w:rPr>
            </w:pPr>
            <w:r>
              <w:rPr>
                <w:b/>
                <w:bCs/>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snapToGrid w:val="false"/>
              <w:rPr>
                <w:b/>
                <w:bCs/>
              </w:rPr>
            </w:pPr>
            <w:r>
              <w:rPr>
                <w:b/>
                <w:bCs/>
              </w:rPr>
            </w:r>
          </w:p>
        </w:tc>
      </w:tr>
      <w:tr>
        <w:trPr/>
        <w:tc>
          <w:tcPr>
            <w:tcW w:w="4788" w:type="dxa"/>
            <w:tcBorders>
              <w:top w:val="dashed" w:sz="6" w:space="0" w:color="auto"/>
              <w:start w:val="dashed" w:sz="6" w:space="0" w:color="auto"/>
              <w:bottom w:val="dashed" w:sz="6" w:space="0" w:color="auto"/>
              <w:end w:val="dashed" w:sz="6" w:space="0" w:color="auto"/>
            </w:tcBorders>
          </w:tcPr>
          <w:p>
            <w:pPr>
              <w:pStyle w:val="Normal"/>
              <w:keepNext w:val="true"/>
              <w:snapToGrid w:val="false"/>
              <w:spacing w:lineRule="exact" w:line="240"/>
              <w:jc w:val="both"/>
              <w:rPr>
                <w:b/>
                <w:bCs/>
                <w:sz w:val="22"/>
                <w:szCs w:val="22"/>
              </w:rPr>
            </w:pPr>
            <w:r>
              <w:rPr>
                <w:b/>
                <w:bCs/>
                <w:sz w:val="22"/>
                <w:szCs w:val="22"/>
              </w:rPr>
            </w:r>
          </w:p>
        </w:tc>
        <w:tc>
          <w:tcPr>
            <w:tcW w:w="4788" w:type="dxa"/>
            <w:tcBorders>
              <w:top w:val="dashed" w:sz="6" w:space="0" w:color="auto"/>
              <w:start w:val="dashed" w:sz="6" w:space="0" w:color="auto"/>
              <w:bottom w:val="dashed" w:sz="6" w:space="0" w:color="auto"/>
              <w:end w:val="dashed" w:sz="6" w:space="0" w:color="auto"/>
            </w:tcBorders>
          </w:tcPr>
          <w:p>
            <w:pPr>
              <w:pStyle w:val="BodyText3"/>
              <w:rPr>
                <w:sz w:val="22"/>
                <w:szCs w:val="22"/>
              </w:rPr>
            </w:pPr>
            <w:r>
              <w:rPr/>
              <w:t>NEUMIN PRODUCTION CO.</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BodyText3"/>
              <w:rPr>
                <w:b w:val="false"/>
                <w:bCs w:val="false"/>
              </w:rPr>
            </w:pPr>
            <w:r>
              <w:rPr>
                <w:b w:val="false"/>
                <w:bCs w:val="false"/>
                <w:sz w:val="22"/>
                <w:szCs w:val="22"/>
              </w:rPr>
              <w:t>Title:</w:t>
              <w:tab/>
            </w:r>
            <w:r>
              <w:rPr>
                <w:b w:val="false"/>
                <w:bCs w:val="false"/>
                <w:sz w:val="22"/>
                <w:szCs w:val="22"/>
                <w:u w:val="single"/>
              </w:rPr>
              <w:tab/>
              <w:tab/>
              <w:tab/>
              <w:tab/>
              <w:tab/>
            </w:r>
          </w:p>
        </w:tc>
      </w:tr>
    </w:tbl>
    <w:p>
      <w:pPr>
        <w:pStyle w:val="BodyText"/>
        <w:keepLines w:val="false"/>
        <w:tabs>
          <w:tab w:val="clear" w:pos="2988"/>
        </w:tabs>
        <w:spacing w:lineRule="auto" w:line="240"/>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Times New Roman" w:hAnsi="Times New Roman" w:eastAsia="Times New Roman" w:cs="Times New Roman"/>
        <w:spacing w:val="-2"/>
        <w:sz w:val="12"/>
        <w:szCs w:val="12"/>
      </w:rPr>
    </w:pPr>
    <w:r>
      <w:rPr>
        <w:rFonts w:eastAsia="Times New Roman" w:cs="Times New Roman" w:ascii="Times New Roman" w:hAnsi="Times New Roman"/>
        <w:spacing w:val="-2"/>
        <w:sz w:val="12"/>
        <w:szCs w:val="12"/>
      </w:rPr>
      <w:fldChar w:fldCharType="begin"/>
    </w:r>
    <w:r>
      <w:rPr>
        <w:sz w:val="12"/>
        <w:spacing w:val="-2"/>
        <w:szCs w:val="12"/>
        <w:rFonts w:eastAsia="Times New Roman" w:cs="Times New Roman" w:ascii="Times New Roman" w:hAnsi="Times New Roman"/>
      </w:rPr>
      <w:instrText xml:space="preserve"> FILENAME \p </w:instrText>
    </w:r>
    <w:r>
      <w:rPr>
        <w:sz w:val="12"/>
        <w:spacing w:val="-2"/>
        <w:szCs w:val="12"/>
        <w:rFonts w:eastAsia="Times New Roman" w:cs="Times New Roman" w:ascii="Times New Roman" w:hAnsi="Times New Roman"/>
      </w:rPr>
      <w:fldChar w:fldCharType="separate"/>
    </w:r>
    <w:r>
      <w:rPr>
        <w:sz w:val="12"/>
        <w:spacing w:val="-2"/>
        <w:szCs w:val="12"/>
        <w:rFonts w:eastAsia="Times New Roman" w:cs="Times New Roman" w:ascii="Times New Roman" w:hAnsi="Times New Roman"/>
      </w:rPr>
      <w:t>/mnt/main-storage/datasets/enron-docs/doc/guaranty_formosaplastics_3.doc</w:t>
    </w:r>
    <w:r>
      <w:rPr>
        <w:sz w:val="12"/>
        <w:spacing w:val="-2"/>
        <w:szCs w:val="12"/>
        <w:rFonts w:eastAsia="Times New Roman" w:cs="Times New Roman" w:ascii="Times New Roman" w:hAnsi="Times New Roman"/>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eastAsia="Times New Roman" w:cs="Times New Roman"/>
        <w:sz w:val="12"/>
        <w:szCs w:val="12"/>
      </w:rPr>
    </w:pPr>
    <w:r>
      <w:rPr>
        <w:rFonts w:eastAsia="Times New Roman" w:cs="Times New Roman" w:ascii="Times New Roman" w:hAnsi="Times New Roman"/>
        <w:sz w:val="12"/>
        <w:szCs w:val="12"/>
      </w:rPr>
      <w:fldChar w:fldCharType="begin"/>
    </w:r>
    <w:r>
      <w:rPr>
        <w:sz w:val="12"/>
        <w:szCs w:val="12"/>
        <w:rFonts w:eastAsia="Times New Roman" w:cs="Times New Roman" w:ascii="Times New Roman" w:hAnsi="Times New Roman"/>
      </w:rPr>
      <w:instrText xml:space="preserve"> FILENAME \p </w:instrText>
    </w:r>
    <w:r>
      <w:rPr>
        <w:sz w:val="12"/>
        <w:szCs w:val="12"/>
        <w:rFonts w:eastAsia="Times New Roman" w:cs="Times New Roman" w:ascii="Times New Roman" w:hAnsi="Times New Roman"/>
      </w:rPr>
      <w:fldChar w:fldCharType="separate"/>
    </w:r>
    <w:r>
      <w:rPr>
        <w:sz w:val="12"/>
        <w:szCs w:val="12"/>
        <w:rFonts w:eastAsia="Times New Roman" w:cs="Times New Roman" w:ascii="Times New Roman" w:hAnsi="Times New Roman"/>
      </w:rPr>
      <w:t>/mnt/main-storage/datasets/enron-docs/doc/guaranty_formosaplastics_3.doc</w:t>
    </w:r>
    <w:r>
      <w:rPr>
        <w:sz w:val="12"/>
        <w:szCs w:val="12"/>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lvl>
    <w:lvl w:ilvl="1">
      <w:start w:val="1"/>
      <w:pStyle w:val="Heading2"/>
      <w:numFmt w:val="upperLetter"/>
      <w:suff w:val="nothing"/>
      <w:lvlText w:val="%2"/>
      <w:lvlJc w:val="start"/>
      <w:pPr>
        <w:tabs>
          <w:tab w:val="num" w:pos="0"/>
        </w:tabs>
        <w:ind w:start="0" w:hanging="0"/>
      </w:pPr>
    </w:lvl>
    <w:lvl w:ilvl="2">
      <w:start w:val="1"/>
      <w:pStyle w:val="Heading3"/>
      <w:numFmt w:val="decimal"/>
      <w:suff w:val="nothing"/>
      <w:lvlText w:val="%3"/>
      <w:lvlJc w:val="start"/>
      <w:pPr>
        <w:tabs>
          <w:tab w:val="num" w:pos="0"/>
        </w:tabs>
        <w:ind w:start="0" w:hanging="0"/>
      </w:pPr>
    </w:lvl>
    <w:lvl w:ilvl="3">
      <w:start w:val="1"/>
      <w:pStyle w:val="Heading4"/>
      <w:numFmt w:val="lowerLetter"/>
      <w:suff w:val="nothing"/>
      <w:lvlText w:val="%4"/>
      <w:lvlJc w:val="start"/>
      <w:pPr>
        <w:tabs>
          <w:tab w:val="num" w:pos="0"/>
        </w:tabs>
        <w:ind w:start="0" w:hanging="0"/>
      </w:pPr>
    </w:lvl>
    <w:lvl w:ilvl="4">
      <w:start w:val="1"/>
      <w:pStyle w:val="Heading5"/>
      <w:numFmt w:val="decimal"/>
      <w:suff w:val="nothing"/>
      <w:lvlText w:val="%5"/>
      <w:lvlJc w:val="start"/>
      <w:pPr>
        <w:tabs>
          <w:tab w:val="num" w:pos="0"/>
        </w:tabs>
        <w:ind w:start="0" w:hanging="0"/>
      </w:pPr>
    </w:lvl>
    <w:lvl w:ilvl="5">
      <w:start w:val="1"/>
      <w:pStyle w:val="Heading6"/>
      <w:numFmt w:val="lowerLetter"/>
      <w:suff w:val="nothing"/>
      <w:lvlText w:val="%6"/>
      <w:lvlJc w:val="start"/>
      <w:pPr>
        <w:tabs>
          <w:tab w:val="num" w:pos="0"/>
        </w:tabs>
        <w:ind w:start="0" w:hanging="0"/>
      </w:pPr>
    </w:lvl>
    <w:lvl w:ilvl="6">
      <w:start w:val="1"/>
      <w:pStyle w:val="Heading7"/>
      <w:numFmt w:val="lowerRoman"/>
      <w:suff w:val="nothing"/>
      <w:lvlText w:val="%7"/>
      <w:lvlJc w:val="start"/>
      <w:pPr>
        <w:tabs>
          <w:tab w:val="num" w:pos="0"/>
        </w:tabs>
        <w:ind w:start="0" w:hanging="0"/>
      </w:pPr>
    </w:lvl>
    <w:lvl w:ilvl="7">
      <w:start w:val="1"/>
      <w:pStyle w:val="Heading8"/>
      <w:numFmt w:val="lowerLetter"/>
      <w:suff w:val="nothing"/>
      <w:lvlText w:val="%8"/>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CG Times" w:cs="CG Times"/>
      <w:color w:val="auto"/>
      <w:sz w:val="23"/>
      <w:szCs w:val="23"/>
      <w:lang w:val="en-US" w:eastAsia="zh-CN" w:bidi="hi-IN"/>
    </w:rPr>
  </w:style>
  <w:style w:type="paragraph" w:styleId="Heading1">
    <w:name w:val="heading 1"/>
    <w:basedOn w:val="Normal"/>
    <w:next w:val="Normal"/>
    <w:qFormat/>
    <w:pPr>
      <w:numPr>
        <w:ilvl w:val="0"/>
        <w:numId w:val="1"/>
      </w:numPr>
      <w:outlineLvl w:val="0"/>
    </w:pPr>
    <w:rPr>
      <w:sz w:val="24"/>
      <w:szCs w:val="24"/>
    </w:rPr>
  </w:style>
  <w:style w:type="paragraph" w:styleId="Heading2">
    <w:name w:val="heading 2"/>
    <w:basedOn w:val="Normal"/>
    <w:next w:val="Normal"/>
    <w:qFormat/>
    <w:pPr>
      <w:numPr>
        <w:ilvl w:val="1"/>
        <w:numId w:val="1"/>
      </w:numPr>
      <w:outlineLvl w:val="1"/>
    </w:pPr>
    <w:rPr>
      <w:sz w:val="24"/>
      <w:szCs w:val="24"/>
    </w:rPr>
  </w:style>
  <w:style w:type="paragraph" w:styleId="Heading3">
    <w:name w:val="heading 3"/>
    <w:basedOn w:val="Normal"/>
    <w:next w:val="Normal"/>
    <w:qFormat/>
    <w:pPr>
      <w:numPr>
        <w:ilvl w:val="2"/>
        <w:numId w:val="1"/>
      </w:numPr>
      <w:outlineLvl w:val="2"/>
    </w:pPr>
    <w:rPr>
      <w:sz w:val="24"/>
      <w:szCs w:val="24"/>
    </w:rPr>
  </w:style>
  <w:style w:type="paragraph" w:styleId="Heading4">
    <w:name w:val="heading 4"/>
    <w:basedOn w:val="Normal"/>
    <w:next w:val="Normal"/>
    <w:qFormat/>
    <w:pPr>
      <w:numPr>
        <w:ilvl w:val="3"/>
        <w:numId w:val="1"/>
      </w:numPr>
      <w:outlineLvl w:val="3"/>
    </w:pPr>
    <w:rPr>
      <w:sz w:val="24"/>
      <w:szCs w:val="24"/>
    </w:rPr>
  </w:style>
  <w:style w:type="paragraph" w:styleId="Heading5">
    <w:name w:val="heading 5"/>
    <w:basedOn w:val="Normal"/>
    <w:next w:val="Normal"/>
    <w:qFormat/>
    <w:pPr>
      <w:numPr>
        <w:ilvl w:val="4"/>
        <w:numId w:val="1"/>
      </w:numPr>
      <w:outlineLvl w:val="4"/>
    </w:pPr>
    <w:rPr>
      <w:sz w:val="24"/>
      <w:szCs w:val="24"/>
    </w:rPr>
  </w:style>
  <w:style w:type="paragraph" w:styleId="Heading6">
    <w:name w:val="heading 6"/>
    <w:basedOn w:val="Normal"/>
    <w:next w:val="Normal"/>
    <w:qFormat/>
    <w:pPr>
      <w:numPr>
        <w:ilvl w:val="5"/>
        <w:numId w:val="1"/>
      </w:numPr>
      <w:outlineLvl w:val="5"/>
    </w:pPr>
    <w:rPr>
      <w:sz w:val="24"/>
      <w:szCs w:val="24"/>
    </w:rPr>
  </w:style>
  <w:style w:type="paragraph" w:styleId="Heading7">
    <w:name w:val="heading 7"/>
    <w:basedOn w:val="Normal"/>
    <w:next w:val="Normal"/>
    <w:qFormat/>
    <w:pPr>
      <w:numPr>
        <w:ilvl w:val="6"/>
        <w:numId w:val="1"/>
      </w:numPr>
      <w:outlineLvl w:val="6"/>
    </w:pPr>
    <w:rPr>
      <w:sz w:val="24"/>
      <w:szCs w:val="24"/>
    </w:rPr>
  </w:style>
  <w:style w:type="paragraph" w:styleId="Heading8">
    <w:name w:val="heading 8"/>
    <w:basedOn w:val="Normal"/>
    <w:next w:val="Normal"/>
    <w:qFormat/>
    <w:pPr>
      <w:numPr>
        <w:ilvl w:val="7"/>
        <w:numId w:val="1"/>
      </w:numPr>
      <w:outlineLvl w:val="7"/>
    </w:pPr>
    <w:rPr>
      <w:sz w:val="24"/>
      <w:szCs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rFonts w:ascii="Times New Roman" w:hAnsi="Times New Roman" w:eastAsia="Times New Roman" w:cs="Times New Roman"/>
      <w:sz w:val="22"/>
      <w:szCs w:val="22"/>
    </w:rPr>
  </w:style>
  <w:style w:type="paragraph" w:styleId="List">
    <w:name w:val="List"/>
    <w:basedOn w:val="BodyText"/>
    <w:pPr/>
    <w:rPr>
      <w:rFonts w:cs="NotoSans NF"/>
    </w:rPr>
  </w:style>
  <w:style w:type="paragraph" w:styleId="Caption">
    <w:name w:val="caption"/>
    <w:basedOn w:val="Normal"/>
    <w:next w:val="Normal"/>
    <w:qFormat/>
    <w:pPr/>
    <w:rPr>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lineRule="exact" w:line="240"/>
      <w:ind w:firstLine="720" w:start="4320" w:end="720"/>
      <w:jc w:val="center"/>
    </w:pPr>
    <w:rPr>
      <w:rFonts w:ascii="Times New Roman" w:hAnsi="Times New Roman" w:eastAsia="Times New Roman" w:cs="Times New Roman"/>
      <w:b/>
      <w:bCs/>
      <w:color w:val="000000"/>
      <w:sz w:val="22"/>
      <w:szCs w:val="22"/>
    </w:rPr>
  </w:style>
  <w:style w:type="paragraph" w:styleId="BodyText2">
    <w:name w:val="Body Text 2"/>
    <w:basedOn w:val="Normal"/>
    <w:qFormat/>
    <w:pPr>
      <w:keepNext w:val="true"/>
      <w:spacing w:lineRule="atLeast" w:line="240"/>
      <w:ind w:firstLine="720" w:start="0" w:end="0"/>
      <w:jc w:val="both"/>
    </w:pPr>
    <w:rPr>
      <w:rFonts w:ascii="Times New Roman" w:hAnsi="Times New Roman" w:eastAsia="Times New Roman" w:cs="Times New Roman"/>
      <w:sz w:val="22"/>
      <w:szCs w:val="22"/>
    </w:rPr>
  </w:style>
  <w:style w:type="paragraph" w:styleId="BodyText3">
    <w:name w:val="Body Text 3"/>
    <w:basedOn w:val="Normal"/>
    <w:qFormat/>
    <w:pPr>
      <w:keepNext w:val="true"/>
      <w:spacing w:lineRule="exact" w:line="240"/>
      <w:jc w:val="both"/>
    </w:pPr>
    <w:rPr>
      <w:b/>
      <w:bCs/>
    </w:rPr>
  </w:style>
  <w:style w:type="paragraph" w:styleId="WW-BodyText2">
    <w:name w:val="WW-Body Text 2"/>
    <w:basedOn w:val="Normal"/>
    <w:qFormat/>
    <w:pPr>
      <w:tabs>
        <w:tab w:val="clear" w:pos="720"/>
        <w:tab w:val="left" w:pos="1080" w:leader="none"/>
      </w:tabs>
      <w:ind w:firstLine="720" w:start="0" w:end="0"/>
      <w:jc w:val="both"/>
    </w:pPr>
    <w:rPr>
      <w:rFonts w:ascii="Times New Roman" w:hAnsi="Times New Roman" w:eastAsia="Times New Roman" w:cs="Times New Roman"/>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2000-06-06T18:18:00Z</dcterms:created>
  <dc:creator>tjones</dc:creator>
  <dc:description/>
  <dc:language>en-CA</dc:language>
  <cp:lastModifiedBy>tjones</cp:lastModifiedBy>
  <cp:lastPrinted>2000-06-06T17:48:00Z</cp:lastPrinted>
  <dcterms:modified xsi:type="dcterms:W3CDTF">2000-06-06T20:20:00Z</dcterms:modified>
  <cp:revision>10</cp:revision>
  <dc:subject>Form</dc:subject>
  <dc:title>Amendment to Financing Agreement</dc:title>
</cp:coreProperties>
</file>