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footnotes.xml" ContentType="application/vnd.openxmlformats-officedocument.wordprocessingml.footnotes+xml"/>
  <Override PartName="/word/header3.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5"/>
        <w:ind w:hanging="0" w:start="0"/>
        <w:rPr/>
      </w:pPr>
      <w:r>
        <w:rPr/>
        <w:t>DRAFT OF 05/30/2001</w:t>
      </w:r>
    </w:p>
    <w:p>
      <w:pPr>
        <w:pStyle w:val="Normal"/>
        <w:jc w:val="end"/>
        <w:rPr/>
      </w:pPr>
      <w:r>
        <w:rPr/>
        <w:t>Revise 9-01</w:t>
      </w:r>
    </w:p>
    <w:p>
      <w:pPr>
        <w:pStyle w:val="Normal"/>
        <w:jc w:val="end"/>
        <w:rPr/>
      </w:pPr>
      <w:r>
        <w:rPr/>
        <w:t>Cook</w:t>
      </w:r>
    </w:p>
    <w:p>
      <w:pPr>
        <w:pStyle w:val="Normal"/>
        <w:ind w:end="180"/>
        <w:jc w:val="center"/>
        <w:rPr>
          <w:b/>
          <w:bCs/>
          <w:sz w:val="22"/>
          <w:szCs w:val="22"/>
          <w:u w:val="single"/>
        </w:rPr>
      </w:pPr>
      <w:r>
        <w:rPr>
          <w:b/>
          <w:bCs/>
          <w:sz w:val="22"/>
          <w:szCs w:val="22"/>
          <w:u w:val="single"/>
        </w:rPr>
      </w:r>
    </w:p>
    <w:p>
      <w:pPr>
        <w:pStyle w:val="Normal"/>
        <w:ind w:end="180"/>
        <w:jc w:val="center"/>
        <w:rPr>
          <w:b/>
          <w:bCs/>
          <w:sz w:val="22"/>
          <w:szCs w:val="22"/>
        </w:rPr>
      </w:pPr>
      <w:r>
        <w:rPr>
          <w:b/>
          <w:bCs/>
          <w:sz w:val="22"/>
          <w:szCs w:val="22"/>
          <w:u w:val="single"/>
        </w:rPr>
        <w:t>EXHIBIT A</w:t>
      </w:r>
    </w:p>
    <w:p>
      <w:pPr>
        <w:pStyle w:val="Normal"/>
        <w:ind w:end="180"/>
        <w:jc w:val="center"/>
        <w:rPr>
          <w:b/>
          <w:bCs/>
          <w:sz w:val="22"/>
          <w:szCs w:val="22"/>
        </w:rPr>
      </w:pPr>
      <w:r>
        <w:rPr>
          <w:b/>
          <w:bCs/>
          <w:sz w:val="22"/>
          <w:szCs w:val="22"/>
        </w:rPr>
      </w:r>
    </w:p>
    <w:p>
      <w:pPr>
        <w:pStyle w:val="Normal"/>
        <w:ind w:end="180"/>
        <w:jc w:val="center"/>
        <w:rPr>
          <w:b/>
          <w:bCs/>
          <w:sz w:val="22"/>
          <w:szCs w:val="22"/>
        </w:rPr>
      </w:pPr>
      <w:r>
        <w:rPr>
          <w:b/>
          <w:bCs/>
          <w:sz w:val="22"/>
          <w:szCs w:val="22"/>
        </w:rPr>
        <w:t>ENRON CORP.</w:t>
      </w:r>
    </w:p>
    <w:p>
      <w:pPr>
        <w:pStyle w:val="Normal"/>
        <w:spacing w:lineRule="exact" w:line="240"/>
        <w:ind w:end="180"/>
        <w:jc w:val="center"/>
        <w:rPr>
          <w:b/>
          <w:bCs/>
          <w:sz w:val="22"/>
          <w:szCs w:val="22"/>
          <w:u w:val="single"/>
        </w:rPr>
      </w:pPr>
      <w:r>
        <w:rPr>
          <w:b/>
          <w:bCs/>
          <w:sz w:val="22"/>
          <w:szCs w:val="22"/>
          <w:u w:val="single"/>
        </w:rPr>
      </w:r>
    </w:p>
    <w:p>
      <w:pPr>
        <w:pStyle w:val="Normal"/>
        <w:spacing w:lineRule="exact" w:line="240"/>
        <w:ind w:end="180"/>
        <w:jc w:val="center"/>
        <w:rPr>
          <w:sz w:val="22"/>
          <w:szCs w:val="22"/>
        </w:rPr>
      </w:pPr>
      <w:r>
        <w:rPr>
          <w:sz w:val="22"/>
          <w:szCs w:val="22"/>
          <w:u w:val="single"/>
        </w:rPr>
        <w:t>Guaranty</w:t>
      </w:r>
    </w:p>
    <w:p>
      <w:pPr>
        <w:pStyle w:val="Normal"/>
        <w:spacing w:lineRule="exact" w:line="480"/>
        <w:jc w:val="both"/>
        <w:rPr>
          <w:sz w:val="22"/>
          <w:szCs w:val="22"/>
        </w:rPr>
      </w:pPr>
      <w:r>
        <w:rPr>
          <w:sz w:val="22"/>
          <w:szCs w:val="22"/>
        </w:rPr>
      </w:r>
    </w:p>
    <w:p>
      <w:pPr>
        <w:pStyle w:val="Normal"/>
        <w:spacing w:lineRule="atLeast" w:line="240"/>
        <w:ind w:firstLine="720" w:end="0"/>
        <w:jc w:val="both"/>
        <w:rPr/>
      </w:pPr>
      <w:r>
        <w:rPr>
          <w:sz w:val="22"/>
          <w:szCs w:val="22"/>
        </w:rPr>
        <w:t xml:space="preserve">This Guaranty (this “Guaranty”), dated effective as of </w:t>
      </w:r>
      <w:r>
        <w:rPr>
          <w:sz w:val="22"/>
          <w:szCs w:val="22"/>
          <w:u w:val="single"/>
        </w:rPr>
        <w:tab/>
        <w:tab/>
      </w:r>
      <w:r>
        <w:rPr>
          <w:sz w:val="22"/>
          <w:szCs w:val="22"/>
        </w:rPr>
        <w:t>, 200__</w:t>
      </w:r>
      <w:r>
        <w:rPr>
          <w:sz w:val="22"/>
          <w:szCs w:val="22"/>
          <w:u w:val="single"/>
        </w:rPr>
        <w:t xml:space="preserve"> </w:t>
      </w:r>
      <w:r>
        <w:rPr>
          <w:sz w:val="22"/>
          <w:szCs w:val="22"/>
        </w:rPr>
        <w:t xml:space="preserve"> (the “Effective Date”), is made and entered into by </w:t>
      </w:r>
      <w:r>
        <w:rPr>
          <w:caps/>
          <w:sz w:val="22"/>
          <w:szCs w:val="22"/>
        </w:rPr>
        <w:t>Enron Corp.</w:t>
      </w:r>
      <w:r>
        <w:rPr>
          <w:sz w:val="22"/>
          <w:szCs w:val="22"/>
        </w:rPr>
        <w:t>, an Oregon corporation (“Guarantor”).</w:t>
      </w:r>
    </w:p>
    <w:p>
      <w:pPr>
        <w:pStyle w:val="Normal"/>
        <w:keepNext w:val="true"/>
        <w:spacing w:lineRule="exact" w:line="240" w:before="480" w:after="0"/>
        <w:jc w:val="center"/>
        <w:rPr>
          <w:b/>
          <w:bCs/>
          <w:caps/>
          <w:sz w:val="22"/>
          <w:szCs w:val="22"/>
        </w:rPr>
      </w:pPr>
      <w:r>
        <w:rPr>
          <w:b/>
          <w:bCs/>
          <w:caps/>
          <w:sz w:val="22"/>
          <w:szCs w:val="22"/>
        </w:rPr>
        <w:t>W I T N E S S E T H:</w:t>
      </w:r>
    </w:p>
    <w:p>
      <w:pPr>
        <w:pStyle w:val="Normal"/>
        <w:spacing w:lineRule="atLeast" w:line="240"/>
        <w:jc w:val="both"/>
        <w:rPr>
          <w:b/>
          <w:bCs/>
          <w:caps/>
          <w:sz w:val="22"/>
          <w:szCs w:val="22"/>
        </w:rPr>
      </w:pPr>
      <w:r>
        <w:rPr>
          <w:b/>
          <w:bCs/>
          <w:caps/>
          <w:sz w:val="22"/>
          <w:szCs w:val="22"/>
        </w:rPr>
      </w:r>
    </w:p>
    <w:p>
      <w:pPr>
        <w:pStyle w:val="Normal"/>
        <w:spacing w:lineRule="atLeast" w:line="240"/>
        <w:ind w:firstLine="720" w:end="0"/>
        <w:jc w:val="both"/>
        <w:rPr/>
      </w:pPr>
      <w:r>
        <w:rPr>
          <w:sz w:val="22"/>
          <w:szCs w:val="22"/>
        </w:rPr>
        <w:t xml:space="preserve">WHEREAS, </w:t>
      </w:r>
      <w:r>
        <w:rPr>
          <w:sz w:val="22"/>
          <w:szCs w:val="22"/>
          <w:u w:val="single"/>
        </w:rPr>
        <w:tab/>
        <w:tab/>
      </w:r>
      <w:r>
        <w:rPr>
          <w:sz w:val="22"/>
          <w:szCs w:val="22"/>
        </w:rPr>
        <w:t xml:space="preserve">, a </w:t>
      </w:r>
      <w:r>
        <w:rPr>
          <w:sz w:val="22"/>
          <w:szCs w:val="22"/>
          <w:u w:val="single"/>
        </w:rPr>
        <w:tab/>
        <w:tab/>
        <w:tab/>
      </w:r>
      <w:r>
        <w:rPr>
          <w:sz w:val="22"/>
          <w:szCs w:val="22"/>
        </w:rPr>
        <w:t xml:space="preserve"> corporation (“Counterparty”), and ENRON NORTH AMERICA CORP. </w:t>
      </w:r>
      <w:r>
        <w:rPr>
          <w:color w:val="FF0000"/>
          <w:sz w:val="22"/>
          <w:szCs w:val="22"/>
        </w:rPr>
        <w:t>[</w:t>
      </w:r>
      <w:r>
        <w:rPr>
          <w:sz w:val="22"/>
          <w:szCs w:val="22"/>
        </w:rPr>
        <w:t>_______________________</w:t>
      </w:r>
      <w:r>
        <w:rPr>
          <w:color w:val="FF0000"/>
          <w:sz w:val="22"/>
          <w:szCs w:val="22"/>
        </w:rPr>
        <w:t>]</w:t>
      </w:r>
      <w:r>
        <w:rPr>
          <w:sz w:val="22"/>
          <w:szCs w:val="22"/>
        </w:rPr>
        <w:t xml:space="preserve"> (“Enron”), a wholly owned subsidiary of Guarantor, are contemplating entering into, or have entered into, one or more swap, option or other financially-settled derivative transactions, which transactions will be evidenced by one or more swap agreements, confirmations and/or master agreements, </w:t>
      </w:r>
      <w:r>
        <w:rPr>
          <w:color w:val="FF0000"/>
          <w:sz w:val="22"/>
          <w:szCs w:val="22"/>
        </w:rPr>
        <w:t>[</w:t>
      </w:r>
      <w:r>
        <w:rPr>
          <w:sz w:val="22"/>
          <w:szCs w:val="22"/>
        </w:rPr>
        <w:t xml:space="preserve">including without limitation, </w:t>
      </w:r>
      <w:r>
        <w:rPr>
          <w:color w:val="FF0000"/>
          <w:sz w:val="22"/>
          <w:szCs w:val="22"/>
        </w:rPr>
        <w:t>[</w:t>
      </w:r>
      <w:r>
        <w:rPr>
          <w:sz w:val="22"/>
          <w:szCs w:val="22"/>
        </w:rPr>
        <w:t>the Master Agreement dated as of the Effective Date (the “Master Agreement”)</w:t>
      </w:r>
      <w:r>
        <w:rPr>
          <w:color w:val="FF0000"/>
          <w:sz w:val="22"/>
          <w:szCs w:val="22"/>
        </w:rPr>
        <w:t>]]</w:t>
      </w:r>
      <w:r>
        <w:rPr>
          <w:rStyle w:val="FootnoteCharacters"/>
          <w:rStyle w:val="FootnoteReference"/>
          <w:color w:val="FF0000"/>
          <w:sz w:val="22"/>
          <w:szCs w:val="22"/>
        </w:rPr>
        <w:footnoteReference w:id="2"/>
      </w:r>
      <w:r>
        <w:rPr>
          <w:color w:val="FF0000"/>
          <w:sz w:val="22"/>
          <w:szCs w:val="22"/>
        </w:rPr>
        <w:t xml:space="preserve"> </w:t>
      </w:r>
      <w:r>
        <w:rPr>
          <w:sz w:val="22"/>
          <w:szCs w:val="22"/>
        </w:rPr>
        <w:t xml:space="preserve">(all such swap, option or other financially-settled derivative transactions and the agreements evidencing same, </w:t>
      </w:r>
      <w:r>
        <w:rPr>
          <w:color w:val="FF0000"/>
          <w:sz w:val="22"/>
          <w:szCs w:val="22"/>
        </w:rPr>
        <w:t>[</w:t>
      </w:r>
      <w:r>
        <w:rPr>
          <w:sz w:val="22"/>
          <w:szCs w:val="22"/>
        </w:rPr>
        <w:t xml:space="preserve">including without limitation, </w:t>
      </w:r>
      <w:r>
        <w:rPr>
          <w:color w:val="FF0000"/>
          <w:sz w:val="22"/>
          <w:szCs w:val="22"/>
        </w:rPr>
        <w:t>[</w:t>
      </w:r>
      <w:r>
        <w:rPr>
          <w:sz w:val="22"/>
          <w:szCs w:val="22"/>
        </w:rPr>
        <w:t>the Master Agreement,</w:t>
      </w:r>
      <w:r>
        <w:rPr>
          <w:color w:val="FF0000"/>
          <w:sz w:val="22"/>
          <w:szCs w:val="22"/>
        </w:rPr>
        <w:t>]]</w:t>
      </w:r>
      <w:r>
        <w:rPr>
          <w:rStyle w:val="FootnoteCharacters"/>
          <w:rStyle w:val="FootnoteReference"/>
          <w:color w:val="FF0000"/>
          <w:sz w:val="22"/>
          <w:szCs w:val="22"/>
        </w:rPr>
        <w:footnoteReference w:customMarkFollows="1" w:id="3"/>
        <w:t>1</w:t>
      </w:r>
      <w:r>
        <w:rPr>
          <w:sz w:val="22"/>
          <w:szCs w:val="22"/>
        </w:rPr>
        <w:t xml:space="preserve">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WHEREAS, Guarantor will directly or indirectly benefit from the transactions to be entered into between Enron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NOW THEREFORE, in consideration of Counterparty entering into the Contract, Guarantor hereby covenants and agrees as follows: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1.  </w:t>
      </w:r>
      <w:r>
        <w:rPr>
          <w:sz w:val="22"/>
          <w:szCs w:val="22"/>
          <w:u w:val="single"/>
        </w:rPr>
        <w:t>GUARANTY</w:t>
      </w:r>
      <w:r>
        <w:rPr>
          <w:sz w:val="22"/>
          <w:szCs w:val="22"/>
        </w:rPr>
        <w:t xml:space="preserve">.  Subject to the provisions hereof, Guarantor hereby irrevocably and unconditionally guarantees the timely payment when due of the obligations of Enron (the “Obligations”) to Counterparty under the Contract.  This Guaranty shall constitute </w:t>
      </w:r>
      <w:ins w:id="0" w:author="mcook" w:date="2001-09-07T15:59:00Z">
        <w:r>
          <w:rPr>
            <w:sz w:val="22"/>
            <w:szCs w:val="22"/>
          </w:rPr>
          <w:t xml:space="preserve">a continuing guarantee and </w:t>
        </w:r>
      </w:ins>
      <w:r>
        <w:rPr>
          <w:sz w:val="22"/>
          <w:szCs w:val="22"/>
        </w:rPr>
        <w:t>a guarantee of payment and not of collection.  The liability of Guarantor under this Guaranty shall be subject to the following:</w:t>
      </w:r>
    </w:p>
    <w:p>
      <w:pPr>
        <w:pStyle w:val="BodyTextIndent3"/>
        <w:widowControl w:val="false"/>
        <w:spacing w:lineRule="exact" w:line="240" w:before="240" w:after="0"/>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lineRule="exact" w:line="240" w:before="240" w:after="0"/>
        <w:rPr/>
      </w:pPr>
      <w:r>
        <w:rPr/>
        <w:t>(b)  The aggregate amount covered by this Guaranty shall not exceed U.S. $________</w:t>
      </w:r>
      <w:ins w:id="1" w:author="mcook" w:date="2001-09-07T16:01:00Z">
        <w:r>
          <w:rPr/>
          <w:t xml:space="preserve"> (the “Guaranty Cap”)</w:t>
        </w:r>
      </w:ins>
      <w:r>
        <w:rPr/>
        <w:t>.</w:t>
      </w:r>
    </w:p>
    <w:p>
      <w:pPr>
        <w:pStyle w:val="Normal"/>
        <w:spacing w:lineRule="atLeast" w:line="240"/>
        <w:jc w:val="both"/>
        <w:rPr>
          <w:sz w:val="22"/>
          <w:szCs w:val="22"/>
          <w:ins w:id="3" w:author="mcook" w:date="2001-09-07T16:02:00Z"/>
        </w:rPr>
      </w:pPr>
      <w:ins w:id="2" w:author="mcook" w:date="2001-09-07T16:02:00Z">
        <w:r>
          <w:rPr>
            <w:sz w:val="22"/>
            <w:szCs w:val="22"/>
          </w:rPr>
        </w:r>
      </w:ins>
    </w:p>
    <w:p>
      <w:pPr>
        <w:pStyle w:val="Normal"/>
        <w:spacing w:lineRule="atLeast" w:line="240"/>
        <w:jc w:val="both"/>
        <w:rPr>
          <w:ins w:id="6" w:author="mcook" w:date="2001-09-07T16:04:00Z"/>
        </w:rPr>
      </w:pPr>
      <w:ins w:id="4" w:author="mcook" w:date="2001-09-07T16:02:00Z">
        <w:r>
          <w:rPr>
            <w:sz w:val="22"/>
            <w:szCs w:val="22"/>
          </w:rPr>
          <w:t xml:space="preserve">The Guaranty Cap shall not be affected by </w:t>
        </w:r>
      </w:ins>
      <w:ins w:id="5" w:author="mcook" w:date="2001-09-07T16:04:00Z">
        <w:r>
          <w:rPr>
            <w:sz w:val="22"/>
            <w:szCs w:val="22"/>
          </w:rPr>
          <w:t>the holding or application of any collateral or other credit support by Counterparty.</w:t>
        </w:r>
      </w:ins>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2.  </w:t>
      </w:r>
      <w:r>
        <w:rPr>
          <w:sz w:val="22"/>
          <w:szCs w:val="22"/>
          <w:u w:val="single"/>
        </w:rPr>
        <w:t>DEMANDS AND NOTICE</w:t>
      </w:r>
      <w:r>
        <w:rPr>
          <w:sz w:val="22"/>
          <w:szCs w:val="22"/>
        </w:rPr>
        <w:t>.  Upon the occurrence and during the continuance of an Event of Default or Termination Event, as may be defined in any Contract,</w:t>
      </w:r>
      <w:r>
        <w:rPr>
          <w:color w:val="FF0000"/>
          <w:sz w:val="22"/>
          <w:szCs w:val="22"/>
        </w:rPr>
        <w:t xml:space="preserve"> </w:t>
      </w:r>
      <w:r>
        <w:rPr>
          <w:sz w:val="22"/>
          <w:szCs w:val="22"/>
        </w:rPr>
        <w:t>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  As used herein, the term “Business Day” shall mean a day on which commercial banks or financial institutions are open for business in Houston, Texas and New York, New York.</w:t>
      </w:r>
    </w:p>
    <w:p>
      <w:pPr>
        <w:pStyle w:val="Normal"/>
        <w:spacing w:lineRule="atLeast" w:line="240"/>
        <w:ind w:firstLine="720" w:end="0"/>
        <w:jc w:val="both"/>
        <w:rPr>
          <w:sz w:val="22"/>
          <w:szCs w:val="22"/>
        </w:rPr>
      </w:pPr>
      <w:r>
        <w:rPr>
          <w:sz w:val="22"/>
          <w:szCs w:val="22"/>
        </w:rPr>
      </w:r>
    </w:p>
    <w:p>
      <w:pPr>
        <w:pStyle w:val="Normal"/>
        <w:keepNext w:val="true"/>
        <w:spacing w:lineRule="atLeast" w:line="240"/>
        <w:ind w:firstLine="720" w:end="0"/>
        <w:jc w:val="both"/>
        <w:rPr/>
      </w:pPr>
      <w:r>
        <w:rPr>
          <w:sz w:val="22"/>
          <w:szCs w:val="22"/>
        </w:rPr>
        <w:t xml:space="preserve">3.  </w:t>
      </w:r>
      <w:r>
        <w:rPr>
          <w:sz w:val="22"/>
          <w:szCs w:val="22"/>
          <w:u w:val="single"/>
        </w:rPr>
        <w:t>REPRESENTATIONS AND WARRANTIES</w:t>
      </w:r>
      <w:r>
        <w:rPr>
          <w:sz w:val="22"/>
          <w:szCs w:val="22"/>
        </w:rPr>
        <w:t>.  Guarantor represents and warrants that:</w:t>
      </w:r>
    </w:p>
    <w:p>
      <w:pPr>
        <w:pStyle w:val="Normal"/>
        <w:keepNext w:val="true"/>
        <w:spacing w:lineRule="exact" w:line="240" w:before="240" w:after="0"/>
        <w:ind w:firstLine="630" w:start="810" w:end="0"/>
        <w:jc w:val="both"/>
        <w:rPr>
          <w:sz w:val="22"/>
          <w:szCs w:val="22"/>
        </w:rPr>
      </w:pPr>
      <w:r>
        <w:rPr>
          <w:sz w:val="22"/>
          <w:szCs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 w:val="22"/>
          <w:szCs w:val="22"/>
        </w:rPr>
      </w:pPr>
      <w:r>
        <w:rPr>
          <w:sz w:val="22"/>
          <w:szCs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szCs w:val="22"/>
        </w:rPr>
      </w:pPr>
      <w:r>
        <w:rPr>
          <w:sz w:val="22"/>
          <w:szCs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4.  </w:t>
      </w:r>
      <w:r>
        <w:rPr>
          <w:sz w:val="22"/>
          <w:szCs w:val="22"/>
          <w:u w:val="single"/>
        </w:rPr>
        <w:t>SETOFFS AND COUNTERCLAIMS</w:t>
      </w:r>
      <w:r>
        <w:rPr>
          <w:sz w:val="22"/>
          <w:szCs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5.  </w:t>
      </w:r>
      <w:r>
        <w:rPr>
          <w:sz w:val="22"/>
          <w:szCs w:val="22"/>
          <w:u w:val="single"/>
        </w:rPr>
        <w:t>AMENDMENT OF GUARANTY</w:t>
      </w:r>
      <w:r>
        <w:rPr>
          <w:sz w:val="22"/>
          <w:szCs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6.  </w:t>
      </w:r>
      <w:r>
        <w:rPr>
          <w:sz w:val="22"/>
          <w:szCs w:val="22"/>
          <w:u w:val="single"/>
        </w:rPr>
        <w:t>WAIVERS</w:t>
      </w:r>
      <w:r>
        <w:rPr>
          <w:sz w:val="22"/>
          <w:szCs w:val="22"/>
        </w:rPr>
        <w:t>.  Except as required in Section 2 above, Guarantor hereby waives (a) notice of acceptance of this Guaranty; (b) presentment and demand concerning the liabilities of Guarantor; and (c) any right to require that any action or proceeding be brought against Enron or any other person, or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7.  </w:t>
      </w:r>
      <w:r>
        <w:rPr>
          <w:sz w:val="22"/>
          <w:szCs w:val="22"/>
          <w:u w:val="single"/>
        </w:rPr>
        <w:t>NOTICE</w:t>
      </w:r>
      <w:r>
        <w:rPr>
          <w:sz w:val="22"/>
          <w:szCs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tbl>
      <w:tblPr>
        <w:tblW w:w="10188" w:type="dxa"/>
        <w:jc w:val="start"/>
        <w:tblInd w:w="0" w:type="dxa"/>
        <w:tblLayout w:type="fixed"/>
        <w:tblCellMar>
          <w:top w:w="0" w:type="dxa"/>
          <w:start w:w="108" w:type="dxa"/>
          <w:bottom w:w="0" w:type="dxa"/>
          <w:end w:w="108" w:type="dxa"/>
        </w:tblCellMar>
      </w:tblPr>
      <w:tblGrid>
        <w:gridCol w:w="1908"/>
        <w:gridCol w:w="3330"/>
        <w:gridCol w:w="1530"/>
        <w:gridCol w:w="3420"/>
      </w:tblGrid>
      <w:tr>
        <w:trPr/>
        <w:tc>
          <w:tcPr>
            <w:tcW w:w="1908" w:type="dxa"/>
            <w:tcBorders/>
          </w:tcPr>
          <w:p>
            <w:pPr>
              <w:pStyle w:val="Normal"/>
              <w:keepNext w:val="true"/>
              <w:keepLines/>
              <w:spacing w:lineRule="atLeast" w:line="240"/>
              <w:rPr>
                <w:color w:val="000000"/>
                <w:sz w:val="22"/>
                <w:szCs w:val="22"/>
              </w:rPr>
            </w:pPr>
            <w:r>
              <w:rPr>
                <w:color w:val="000000"/>
                <w:sz w:val="22"/>
                <w:szCs w:val="22"/>
              </w:rPr>
              <w:t>To Counterparty:</w:t>
            </w:r>
          </w:p>
        </w:tc>
        <w:tc>
          <w:tcPr>
            <w:tcW w:w="3330" w:type="dxa"/>
            <w:tcBorders/>
          </w:tcPr>
          <w:p>
            <w:pPr>
              <w:pStyle w:val="Normal"/>
              <w:keepNext w:val="true"/>
              <w:keepLines/>
              <w:tabs>
                <w:tab w:val="clear" w:pos="720"/>
                <w:tab w:val="left" w:pos="3132" w:leader="none"/>
              </w:tabs>
              <w:snapToGrid w:val="false"/>
              <w:spacing w:lineRule="atLeast" w:line="240"/>
              <w:rPr>
                <w:color w:val="000000"/>
                <w:sz w:val="22"/>
                <w:szCs w:val="22"/>
              </w:rPr>
            </w:pPr>
            <w:r>
              <w:rPr>
                <w:color w:val="000000"/>
                <w:sz w:val="22"/>
                <w:szCs w:val="22"/>
              </w:rPr>
            </w:r>
          </w:p>
        </w:tc>
        <w:tc>
          <w:tcPr>
            <w:tcW w:w="1530" w:type="dxa"/>
            <w:tcBorders/>
          </w:tcPr>
          <w:p>
            <w:pPr>
              <w:pStyle w:val="Normal"/>
              <w:keepNext w:val="true"/>
              <w:keepLines/>
              <w:spacing w:lineRule="atLeast" w:line="240"/>
              <w:rPr>
                <w:color w:val="000000"/>
                <w:sz w:val="22"/>
                <w:szCs w:val="22"/>
              </w:rPr>
            </w:pPr>
            <w:r>
              <w:rPr>
                <w:color w:val="000000"/>
                <w:sz w:val="22"/>
                <w:szCs w:val="22"/>
              </w:rPr>
              <w:t>To Guarantor:</w:t>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Enron Corp.</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napToGrid w:val="false"/>
              <w:spacing w:lineRule="atLeast" w:line="240"/>
              <w:rPr>
                <w:color w:val="000000"/>
                <w:sz w:val="22"/>
                <w:szCs w:val="22"/>
              </w:rPr>
            </w:pPr>
            <w:r>
              <w:rPr>
                <w:color w:val="000000"/>
                <w:sz w:val="22"/>
                <w:szCs w:val="22"/>
              </w:rPr>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1400 Smith Street</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napToGrid w:val="false"/>
              <w:spacing w:lineRule="atLeast" w:line="240"/>
              <w:rPr>
                <w:color w:val="000000"/>
                <w:sz w:val="22"/>
                <w:szCs w:val="22"/>
              </w:rPr>
            </w:pPr>
            <w:r>
              <w:rPr>
                <w:color w:val="000000"/>
                <w:sz w:val="22"/>
                <w:szCs w:val="22"/>
              </w:rPr>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Houston, Texas 77002</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pPr>
            <w:r>
              <w:rPr>
                <w:color w:val="000000"/>
                <w:sz w:val="22"/>
                <w:szCs w:val="22"/>
              </w:rPr>
              <w:t xml:space="preserve">Attn.:  </w:t>
            </w:r>
            <w:r>
              <w:rPr>
                <w:color w:val="000000"/>
                <w:sz w:val="22"/>
                <w:szCs w:val="22"/>
                <w:u w:val="single"/>
              </w:rPr>
              <w:tab/>
            </w:r>
          </w:p>
          <w:p>
            <w:pPr>
              <w:pStyle w:val="Normal"/>
              <w:keepNext w:val="true"/>
              <w:keepLines/>
              <w:tabs>
                <w:tab w:val="clear" w:pos="720"/>
                <w:tab w:val="left" w:pos="3132" w:leader="none"/>
              </w:tabs>
              <w:spacing w:lineRule="atLeast" w:line="240"/>
              <w:rPr>
                <w:color w:val="000000"/>
                <w:sz w:val="22"/>
                <w:szCs w:val="22"/>
                <w:u w:val="single"/>
              </w:rPr>
            </w:pPr>
            <w:r>
              <w:rPr>
                <w:color w:val="000000"/>
                <w:sz w:val="22"/>
                <w:szCs w:val="22"/>
                <w:u w:val="single"/>
              </w:rPr>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Attn.:  Vice President, Finance and Treasurer</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 xml:space="preserve">Fax No.:  </w:t>
            </w:r>
            <w:r>
              <w:rPr>
                <w:color w:val="000000"/>
                <w:sz w:val="22"/>
                <w:szCs w:val="22"/>
                <w:u w:val="single"/>
              </w:rPr>
              <w:tab/>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Fax No.:  (713) 646-3422</w:t>
            </w:r>
          </w:p>
        </w:tc>
      </w:tr>
    </w:tbl>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p>
      <w:pPr>
        <w:pStyle w:val="Normal"/>
        <w:spacing w:lineRule="atLeast" w:line="240"/>
        <w:jc w:val="both"/>
        <w:rPr>
          <w:sz w:val="22"/>
          <w:szCs w:val="22"/>
        </w:rPr>
      </w:pPr>
      <w:r>
        <w:rPr>
          <w:sz w:val="22"/>
          <w:szCs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8.  </w:t>
      </w:r>
      <w:r>
        <w:rPr>
          <w:sz w:val="22"/>
          <w:szCs w:val="22"/>
          <w:u w:val="single"/>
        </w:rPr>
        <w:t>MISCELLANEOUS</w:t>
      </w:r>
      <w:r>
        <w:rPr>
          <w:sz w:val="22"/>
          <w:szCs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This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IN WITNESS WHEREOF, the Guarantor has executed this Guaranty on </w:t>
        <w:tab/>
      </w:r>
      <w:r>
        <w:rPr>
          <w:sz w:val="22"/>
          <w:szCs w:val="22"/>
          <w:u w:val="single"/>
        </w:rPr>
        <w:tab/>
      </w:r>
      <w:r>
        <w:rPr>
          <w:sz w:val="22"/>
          <w:szCs w:val="22"/>
        </w:rPr>
        <w:t>, 200_, but it is effective as of the Effective Date.</w:t>
      </w:r>
    </w:p>
    <w:p>
      <w:pPr>
        <w:pStyle w:val="Normal"/>
        <w:spacing w:lineRule="atLeast" w:line="240"/>
        <w:ind w:firstLine="720" w:end="0"/>
        <w:jc w:val="both"/>
        <w:rPr>
          <w:sz w:val="22"/>
          <w:szCs w:val="22"/>
        </w:rPr>
      </w:pPr>
      <w:r>
        <w:rPr>
          <w:sz w:val="22"/>
          <w:szCs w:val="22"/>
        </w:rPr>
      </w:r>
    </w:p>
    <w:p>
      <w:pPr>
        <w:pStyle w:val="Normal"/>
        <w:spacing w:lineRule="atLeast" w:line="240"/>
        <w:ind w:start="5040" w:end="0"/>
        <w:jc w:val="both"/>
        <w:rPr>
          <w:b/>
          <w:bCs/>
          <w:sz w:val="22"/>
          <w:szCs w:val="22"/>
        </w:rPr>
      </w:pPr>
      <w:r>
        <w:rPr>
          <w:b/>
          <w:bCs/>
          <w:sz w:val="22"/>
          <w:szCs w:val="22"/>
        </w:rPr>
        <w:t>ENRON CORP.</w:t>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sz w:val="22"/>
          <w:szCs w:val="22"/>
        </w:rPr>
      </w:pPr>
      <w:r>
        <w:rPr>
          <w:sz w:val="22"/>
          <w:szCs w:val="22"/>
        </w:rPr>
        <w:t xml:space="preserve">By: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Name: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Title:  </w:t>
      </w:r>
      <w:r>
        <w:rPr>
          <w:sz w:val="22"/>
          <w:szCs w:val="22"/>
          <w:u w:val="single"/>
        </w:rPr>
        <w:tab/>
        <w:tab/>
        <w:tab/>
        <w:tab/>
        <w:tab/>
        <w:tab/>
      </w:r>
    </w:p>
    <w:p>
      <w:pPr>
        <w:sectPr>
          <w:headerReference w:type="default" r:id="rId2"/>
          <w:footerReference w:type="default" r:id="rId3"/>
          <w:footnotePr>
            <w:numFmt w:val="decimal"/>
          </w:footnotePr>
          <w:type w:val="nextPage"/>
          <w:pgSz w:w="12240" w:h="15840"/>
          <w:pgMar w:left="1080" w:right="1080" w:gutter="0" w:header="720" w:top="1440" w:footer="720" w:bottom="776"/>
          <w:pgNumType w:start="1" w:fmt="decimal"/>
          <w:formProt w:val="false"/>
          <w:textDirection w:val="lrTb"/>
          <w:docGrid w:type="default" w:linePitch="360" w:charSpace="0"/>
        </w:sectPr>
        <w:pStyle w:val="Normal"/>
        <w:rPr>
          <w:sz w:val="22"/>
          <w:szCs w:val="22"/>
        </w:rPr>
      </w:pPr>
      <w:r>
        <w:rPr>
          <w:sz w:val="22"/>
          <w:szCs w:val="22"/>
        </w:rPr>
      </w:r>
    </w:p>
    <w:p>
      <w:pPr>
        <w:pStyle w:val="Normal"/>
        <w:spacing w:lineRule="exact" w:line="240"/>
        <w:ind w:end="720"/>
        <w:jc w:val="center"/>
        <w:rPr>
          <w:b/>
          <w:bCs/>
          <w:sz w:val="22"/>
          <w:szCs w:val="22"/>
        </w:rPr>
      </w:pPr>
      <w:r>
        <w:rPr>
          <w:b/>
          <w:bCs/>
          <w:sz w:val="22"/>
          <w:szCs w:val="22"/>
          <w:u w:val="single"/>
        </w:rPr>
        <w:t xml:space="preserve">EXHIBIT </w:t>
      </w:r>
      <w:r>
        <w:rPr>
          <w:b/>
          <w:bCs/>
          <w:color w:val="FF0000"/>
          <w:sz w:val="22"/>
          <w:szCs w:val="22"/>
          <w:u w:val="single"/>
        </w:rPr>
        <w:t>[A][B]</w:t>
      </w:r>
    </w:p>
    <w:p>
      <w:pPr>
        <w:pStyle w:val="Normal"/>
        <w:spacing w:lineRule="exact" w:line="240"/>
        <w:ind w:end="720"/>
        <w:jc w:val="center"/>
        <w:rPr>
          <w:b/>
          <w:bCs/>
          <w:sz w:val="22"/>
          <w:szCs w:val="22"/>
        </w:rPr>
      </w:pPr>
      <w:r>
        <w:rPr>
          <w:b/>
          <w:bCs/>
          <w:sz w:val="22"/>
          <w:szCs w:val="22"/>
        </w:rPr>
      </w:r>
    </w:p>
    <w:p>
      <w:pPr>
        <w:pStyle w:val="Normal"/>
        <w:spacing w:lineRule="exact" w:line="240"/>
        <w:ind w:end="720"/>
        <w:jc w:val="center"/>
        <w:rPr>
          <w:b/>
          <w:bCs/>
          <w:color w:val="000000"/>
          <w:sz w:val="22"/>
          <w:szCs w:val="22"/>
        </w:rPr>
      </w:pPr>
      <w:r>
        <w:rPr>
          <w:b/>
          <w:bCs/>
          <w:color w:val="FF0000"/>
          <w:sz w:val="22"/>
          <w:szCs w:val="22"/>
        </w:rPr>
        <w:t>[</w:t>
      </w:r>
      <w:r>
        <w:rPr>
          <w:b/>
          <w:bCs/>
          <w:color w:val="000000"/>
          <w:sz w:val="22"/>
          <w:szCs w:val="22"/>
        </w:rPr>
        <w:t>GUARANTOR</w:t>
      </w:r>
      <w:r>
        <w:rPr>
          <w:b/>
          <w:bCs/>
          <w:color w:val="FF0000"/>
          <w:sz w:val="22"/>
          <w:szCs w:val="22"/>
        </w:rPr>
        <w:t>]</w:t>
      </w:r>
    </w:p>
    <w:p>
      <w:pPr>
        <w:pStyle w:val="Normal"/>
        <w:ind w:end="720"/>
        <w:jc w:val="center"/>
        <w:rPr>
          <w:b/>
          <w:bCs/>
          <w:color w:val="000000"/>
          <w:sz w:val="22"/>
          <w:szCs w:val="22"/>
        </w:rPr>
      </w:pPr>
      <w:r>
        <w:rPr>
          <w:b/>
          <w:bCs/>
          <w:color w:val="000000"/>
          <w:sz w:val="22"/>
          <w:szCs w:val="22"/>
        </w:rPr>
      </w:r>
    </w:p>
    <w:p>
      <w:pPr>
        <w:pStyle w:val="Normal"/>
        <w:spacing w:lineRule="exact" w:line="240"/>
        <w:ind w:end="720"/>
        <w:jc w:val="center"/>
        <w:rPr>
          <w:sz w:val="22"/>
          <w:szCs w:val="22"/>
        </w:rPr>
      </w:pPr>
      <w:r>
        <w:rPr>
          <w:sz w:val="22"/>
          <w:szCs w:val="22"/>
          <w:u w:val="single"/>
        </w:rPr>
        <w:t>Guaranty</w:t>
      </w:r>
    </w:p>
    <w:p>
      <w:pPr>
        <w:pStyle w:val="Normal"/>
        <w:ind w:end="720"/>
        <w:jc w:val="both"/>
        <w:rPr>
          <w:sz w:val="22"/>
          <w:szCs w:val="22"/>
        </w:rPr>
      </w:pPr>
      <w:r>
        <w:rPr>
          <w:sz w:val="22"/>
          <w:szCs w:val="22"/>
        </w:rPr>
      </w:r>
    </w:p>
    <w:p>
      <w:pPr>
        <w:pStyle w:val="Normal"/>
        <w:ind w:end="720"/>
        <w:jc w:val="both"/>
        <w:rPr>
          <w:sz w:val="22"/>
          <w:szCs w:val="22"/>
        </w:rPr>
      </w:pPr>
      <w:r>
        <w:rPr>
          <w:sz w:val="22"/>
          <w:szCs w:val="22"/>
        </w:rPr>
      </w:r>
    </w:p>
    <w:p>
      <w:pPr>
        <w:pStyle w:val="Normal"/>
        <w:spacing w:lineRule="atLeast" w:line="240"/>
        <w:ind w:firstLine="720" w:end="0"/>
        <w:jc w:val="both"/>
        <w:rPr/>
      </w:pPr>
      <w:r>
        <w:rPr>
          <w:sz w:val="22"/>
          <w:szCs w:val="22"/>
        </w:rPr>
        <w:t xml:space="preserve">This Guaranty (this “Guaranty”), dated effective as of </w:t>
      </w:r>
      <w:r>
        <w:rPr>
          <w:sz w:val="22"/>
          <w:szCs w:val="22"/>
          <w:u w:val="single"/>
        </w:rPr>
        <w:tab/>
        <w:tab/>
        <w:tab/>
      </w:r>
      <w:r>
        <w:rPr>
          <w:sz w:val="22"/>
          <w:szCs w:val="22"/>
        </w:rPr>
        <w:t>, 200</w:t>
      </w:r>
      <w:r>
        <w:rPr>
          <w:sz w:val="22"/>
          <w:szCs w:val="22"/>
          <w:u w:val="single"/>
        </w:rPr>
        <w:tab/>
        <w:t xml:space="preserve"> </w:t>
      </w:r>
      <w:r>
        <w:rPr>
          <w:sz w:val="22"/>
          <w:szCs w:val="22"/>
        </w:rPr>
        <w:t xml:space="preserve"> (the “Effective Date”), is made and entered into by </w:t>
      </w:r>
      <w:r>
        <w:rPr>
          <w:b/>
          <w:bCs/>
          <w:sz w:val="22"/>
          <w:szCs w:val="22"/>
          <w:u w:val="single"/>
        </w:rPr>
        <w:t>[GUARANTOR]</w:t>
      </w:r>
      <w:r>
        <w:rPr>
          <w:sz w:val="22"/>
          <w:szCs w:val="22"/>
        </w:rPr>
        <w:t xml:space="preserve">, a </w:t>
      </w:r>
      <w:r>
        <w:rPr>
          <w:sz w:val="22"/>
          <w:szCs w:val="22"/>
          <w:u w:val="single"/>
        </w:rPr>
        <w:tab/>
        <w:tab/>
      </w:r>
      <w:r>
        <w:rPr>
          <w:sz w:val="22"/>
          <w:szCs w:val="22"/>
        </w:rPr>
        <w:t xml:space="preserve"> corporation (“Guarantor”).</w:t>
      </w:r>
    </w:p>
    <w:p>
      <w:pPr>
        <w:pStyle w:val="Normal"/>
        <w:spacing w:lineRule="atLeast" w:line="240"/>
        <w:jc w:val="both"/>
        <w:rPr>
          <w:sz w:val="22"/>
          <w:szCs w:val="22"/>
        </w:rPr>
      </w:pPr>
      <w:r>
        <w:rPr>
          <w:sz w:val="22"/>
          <w:szCs w:val="22"/>
        </w:rPr>
      </w:r>
    </w:p>
    <w:p>
      <w:pPr>
        <w:pStyle w:val="Normal"/>
        <w:keepNext w:val="true"/>
        <w:spacing w:lineRule="atLeast" w:line="240"/>
        <w:jc w:val="center"/>
        <w:rPr>
          <w:b/>
          <w:bCs/>
          <w:caps/>
          <w:sz w:val="22"/>
          <w:szCs w:val="22"/>
        </w:rPr>
      </w:pPr>
      <w:r>
        <w:rPr>
          <w:b/>
          <w:bCs/>
          <w:caps/>
          <w:sz w:val="22"/>
          <w:szCs w:val="22"/>
        </w:rPr>
        <w:t>W I T N E S S E T H:</w:t>
      </w:r>
    </w:p>
    <w:p>
      <w:pPr>
        <w:pStyle w:val="Normal"/>
        <w:spacing w:lineRule="atLeast" w:line="240"/>
        <w:jc w:val="both"/>
        <w:rPr>
          <w:b/>
          <w:bCs/>
          <w:caps/>
          <w:sz w:val="22"/>
          <w:szCs w:val="22"/>
        </w:rPr>
      </w:pPr>
      <w:r>
        <w:rPr>
          <w:b/>
          <w:bCs/>
          <w:caps/>
          <w:sz w:val="22"/>
          <w:szCs w:val="22"/>
        </w:rPr>
      </w:r>
    </w:p>
    <w:p>
      <w:pPr>
        <w:pStyle w:val="Normal"/>
        <w:spacing w:lineRule="atLeast" w:line="240"/>
        <w:ind w:firstLine="720" w:end="0"/>
        <w:jc w:val="both"/>
        <w:rPr/>
      </w:pPr>
      <w:r>
        <w:rPr>
          <w:sz w:val="22"/>
          <w:szCs w:val="22"/>
        </w:rPr>
        <w:t xml:space="preserve">WHEREAS, </w:t>
      </w:r>
      <w:r>
        <w:rPr>
          <w:sz w:val="22"/>
          <w:szCs w:val="22"/>
          <w:u w:val="single"/>
        </w:rPr>
        <w:tab/>
        <w:tab/>
        <w:tab/>
        <w:tab/>
      </w:r>
      <w:r>
        <w:rPr>
          <w:sz w:val="22"/>
          <w:szCs w:val="22"/>
        </w:rPr>
        <w:t xml:space="preserve">, a wholly owned subsidiary of Guarantor (“Counterparty”), and </w:t>
      </w:r>
      <w:r>
        <w:rPr>
          <w:color w:val="FF0000"/>
          <w:sz w:val="22"/>
          <w:szCs w:val="22"/>
        </w:rPr>
        <w:t>[</w:t>
      </w:r>
      <w:r>
        <w:rPr>
          <w:caps/>
          <w:sz w:val="22"/>
          <w:szCs w:val="22"/>
        </w:rPr>
        <w:t>Enron NORTH AMERICA Corp.</w:t>
      </w:r>
      <w:r>
        <w:rPr>
          <w:sz w:val="22"/>
          <w:szCs w:val="22"/>
        </w:rPr>
        <w:t>, a Delaware corporation</w:t>
      </w:r>
      <w:r>
        <w:rPr>
          <w:color w:val="FF0000"/>
          <w:sz w:val="22"/>
          <w:szCs w:val="22"/>
        </w:rPr>
        <w:t>][</w:t>
      </w:r>
      <w:r>
        <w:rPr>
          <w:sz w:val="22"/>
          <w:szCs w:val="22"/>
          <w:u w:val="single"/>
        </w:rPr>
        <w:t>insert Enron affiliate</w:t>
      </w:r>
      <w:r>
        <w:rPr>
          <w:sz w:val="22"/>
          <w:szCs w:val="22"/>
        </w:rPr>
        <w:t>, a _____________ corporation</w:t>
      </w:r>
      <w:r>
        <w:rPr>
          <w:color w:val="FF0000"/>
          <w:sz w:val="22"/>
          <w:szCs w:val="22"/>
        </w:rPr>
        <w:t>]</w:t>
      </w:r>
      <w:r>
        <w:rPr>
          <w:sz w:val="22"/>
          <w:szCs w:val="22"/>
        </w:rPr>
        <w:t xml:space="preserve"> (“Enron”), are contemplating entering into, or have entered into, one or more swap, option or other financially-settled derivative transactions, which transactions will be evidenced by one or more swap agreements, confirmations and/or master agreements, </w:t>
      </w:r>
      <w:r>
        <w:rPr>
          <w:color w:val="FF0000"/>
          <w:sz w:val="22"/>
          <w:szCs w:val="22"/>
        </w:rPr>
        <w:t>[</w:t>
      </w:r>
      <w:r>
        <w:rPr>
          <w:sz w:val="22"/>
          <w:szCs w:val="22"/>
        </w:rPr>
        <w:t xml:space="preserve">including without limitation, </w:t>
      </w:r>
      <w:r>
        <w:rPr>
          <w:color w:val="FF0000"/>
          <w:sz w:val="22"/>
          <w:szCs w:val="22"/>
        </w:rPr>
        <w:t>[</w:t>
      </w:r>
      <w:r>
        <w:rPr>
          <w:sz w:val="22"/>
          <w:szCs w:val="22"/>
        </w:rPr>
        <w:t>the Master Agreement dated as of the Effective Date (the “Master Agreement”)</w:t>
      </w:r>
      <w:r>
        <w:rPr>
          <w:color w:val="FF0000"/>
          <w:sz w:val="22"/>
          <w:szCs w:val="22"/>
        </w:rPr>
        <w:t>]]</w:t>
      </w:r>
      <w:r>
        <w:rPr>
          <w:rStyle w:val="FootnoteCharacters"/>
          <w:rStyle w:val="FootnoteReference"/>
          <w:color w:val="FF0000"/>
          <w:sz w:val="22"/>
          <w:szCs w:val="22"/>
        </w:rPr>
        <w:footnoteReference w:customMarkFollows="1" w:id="4"/>
        <w:t>1</w:t>
      </w:r>
      <w:r>
        <w:rPr>
          <w:color w:val="FF0000"/>
          <w:sz w:val="22"/>
          <w:szCs w:val="22"/>
        </w:rPr>
        <w:t xml:space="preserve"> </w:t>
      </w:r>
      <w:r>
        <w:rPr>
          <w:sz w:val="22"/>
          <w:szCs w:val="22"/>
        </w:rPr>
        <w:t xml:space="preserve">(all such swap, option or other financially-settled derivative transactions and the agreements evidencing same, </w:t>
      </w:r>
      <w:r>
        <w:rPr>
          <w:color w:val="FF0000"/>
          <w:sz w:val="22"/>
          <w:szCs w:val="22"/>
        </w:rPr>
        <w:t>[</w:t>
      </w:r>
      <w:r>
        <w:rPr>
          <w:sz w:val="22"/>
          <w:szCs w:val="22"/>
        </w:rPr>
        <w:t xml:space="preserve">including without limitation, </w:t>
      </w:r>
      <w:r>
        <w:rPr>
          <w:color w:val="FF0000"/>
          <w:sz w:val="22"/>
          <w:szCs w:val="22"/>
        </w:rPr>
        <w:t>[</w:t>
      </w:r>
      <w:r>
        <w:rPr>
          <w:sz w:val="22"/>
          <w:szCs w:val="22"/>
        </w:rPr>
        <w:t>the Master Agreement,</w:t>
      </w:r>
      <w:r>
        <w:rPr>
          <w:color w:val="FF0000"/>
          <w:sz w:val="22"/>
          <w:szCs w:val="22"/>
        </w:rPr>
        <w:t>]]</w:t>
      </w:r>
      <w:r>
        <w:rPr>
          <w:rStyle w:val="FootnoteCharacters"/>
          <w:rStyle w:val="FootnoteReference"/>
          <w:color w:val="FF0000"/>
          <w:sz w:val="22"/>
          <w:szCs w:val="22"/>
        </w:rPr>
        <w:footnoteReference w:customMarkFollows="1" w:id="5"/>
        <w:t>1</w:t>
      </w:r>
      <w:r>
        <w:rPr>
          <w:sz w:val="22"/>
          <w:szCs w:val="22"/>
        </w:rPr>
        <w:t xml:space="preserve">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WHEREAS, Guarantor will directly or indirectly benefit from the transactions to be entered into between Enron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NOW THEREFORE, in consideration of Enron entering into the Contract, Guarantor hereby covenants and agrees as follows: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1.  </w:t>
      </w:r>
      <w:r>
        <w:rPr>
          <w:sz w:val="22"/>
          <w:szCs w:val="22"/>
          <w:u w:val="single"/>
        </w:rPr>
        <w:t>GUARANTY</w:t>
      </w:r>
      <w:r>
        <w:rPr>
          <w:sz w:val="22"/>
          <w:szCs w:val="22"/>
        </w:rPr>
        <w:t xml:space="preserve">.  Subject to the provisions hereof, Guarantor hereby irrevocably and unconditionally guarantees the timely payment when due of the obligations of Counterparty (the “Obligations”) to Enron under the Contract.  This Guaranty shall constitute a </w:t>
      </w:r>
      <w:ins w:id="7" w:author="mcook" w:date="2001-09-07T16:00:00Z">
        <w:r>
          <w:rPr>
            <w:sz w:val="22"/>
            <w:szCs w:val="22"/>
          </w:rPr>
          <w:t xml:space="preserve">continuing guarantee and a </w:t>
        </w:r>
      </w:ins>
      <w:r>
        <w:rPr>
          <w:sz w:val="22"/>
          <w:szCs w:val="22"/>
        </w:rPr>
        <w:t>guarantee of payment and not of collection.  The liability of Guarantor under this Guaranty shall be subject to the following:</w:t>
      </w:r>
    </w:p>
    <w:p>
      <w:pPr>
        <w:pStyle w:val="Normal"/>
        <w:spacing w:lineRule="exact" w:line="240" w:before="240" w:after="0"/>
        <w:ind w:start="720" w:end="0"/>
        <w:jc w:val="both"/>
        <w:rPr>
          <w:sz w:val="22"/>
          <w:szCs w:val="22"/>
        </w:rPr>
      </w:pPr>
      <w:r>
        <w:rPr>
          <w:sz w:val="22"/>
          <w:szCs w:val="22"/>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widowControl w:val="false"/>
        <w:spacing w:lineRule="exact" w:line="240" w:before="240" w:after="0"/>
        <w:rPr>
          <w:ins w:id="10" w:author="mcook" w:date="2001-09-07T16:07:00Z"/>
        </w:rPr>
      </w:pPr>
      <w:r>
        <w:rPr/>
        <w:t>(b)  The aggregate amount covered by this Guaranty shall not exceed U.S. $_____________</w:t>
      </w:r>
      <w:ins w:id="8" w:author="mcook" w:date="2001-09-07T16:06:00Z">
        <w:r>
          <w:rPr/>
          <w:t xml:space="preserve"> (the “Guaranty Cap”</w:t>
        </w:r>
      </w:ins>
      <w:ins w:id="9" w:author="mcook" w:date="2001-09-07T16:14:00Z">
        <w:r>
          <w:rPr/>
          <w:t>)</w:t>
        </w:r>
      </w:ins>
      <w:r>
        <w:rPr/>
        <w:t>.</w:t>
      </w:r>
    </w:p>
    <w:p>
      <w:pPr>
        <w:pStyle w:val="Normal"/>
        <w:spacing w:lineRule="atLeast" w:line="240"/>
        <w:jc w:val="both"/>
        <w:rPr>
          <w:sz w:val="22"/>
          <w:szCs w:val="22"/>
          <w:ins w:id="12" w:author="mcook" w:date="2001-09-07T16:07:00Z"/>
        </w:rPr>
      </w:pPr>
      <w:ins w:id="11" w:author="mcook" w:date="2001-09-07T16:07:00Z">
        <w:r>
          <w:rPr>
            <w:sz w:val="22"/>
            <w:szCs w:val="22"/>
          </w:rPr>
        </w:r>
      </w:ins>
    </w:p>
    <w:p>
      <w:pPr>
        <w:pStyle w:val="Normal"/>
        <w:spacing w:lineRule="atLeast" w:line="240"/>
        <w:jc w:val="both"/>
        <w:rPr>
          <w:sz w:val="22"/>
          <w:szCs w:val="22"/>
          <w:ins w:id="14" w:author="mcook" w:date="2001-09-07T16:07:00Z"/>
        </w:rPr>
      </w:pPr>
      <w:ins w:id="13" w:author="mcook" w:date="2001-09-07T16:07:00Z">
        <w:r>
          <w:rPr>
            <w:sz w:val="22"/>
            <w:szCs w:val="22"/>
          </w:rPr>
          <w:t>The Guaranty Cap shall not be affected by the holding or application of any collateral or other credit support by Enron.</w:t>
        </w:r>
      </w:ins>
    </w:p>
    <w:p>
      <w:pPr>
        <w:pStyle w:val="BodyTextIndent3"/>
        <w:widowControl w:val="false"/>
        <w:spacing w:lineRule="exact" w:line="240" w:before="240" w:after="0"/>
        <w:rPr>
          <w:sz w:val="22"/>
          <w:szCs w:val="22"/>
        </w:rPr>
      </w:pPr>
      <w:r>
        <w:rPr>
          <w:sz w:val="22"/>
          <w:szCs w:val="22"/>
        </w:rPr>
      </w:r>
    </w:p>
    <w:p>
      <w:pPr>
        <w:pStyle w:val="Normal"/>
        <w:spacing w:lineRule="atLeast" w:line="240"/>
        <w:jc w:val="both"/>
        <w:rPr>
          <w:sz w:val="22"/>
          <w:szCs w:val="22"/>
          <w:del w:id="16" w:author="mcook" w:date="2001-09-07T16:09:00Z"/>
        </w:rPr>
      </w:pPr>
      <w:del w:id="15" w:author="mcook" w:date="2001-09-07T16:09:00Z">
        <w:r>
          <w:rPr>
            <w:sz w:val="22"/>
            <w:szCs w:val="22"/>
          </w:rPr>
        </w:r>
      </w:del>
    </w:p>
    <w:p>
      <w:pPr>
        <w:pStyle w:val="Normal"/>
        <w:spacing w:lineRule="atLeast" w:line="240"/>
        <w:ind w:firstLine="720" w:end="0"/>
        <w:jc w:val="both"/>
        <w:rPr/>
      </w:pPr>
      <w:r>
        <w:rPr>
          <w:sz w:val="22"/>
          <w:szCs w:val="22"/>
        </w:rPr>
        <w:t xml:space="preserve">2.  </w:t>
      </w:r>
      <w:r>
        <w:rPr>
          <w:sz w:val="22"/>
          <w:szCs w:val="22"/>
          <w:u w:val="single"/>
        </w:rPr>
        <w:t>DEMANDS AND NOTICE</w:t>
      </w:r>
      <w:r>
        <w:rPr>
          <w:sz w:val="22"/>
          <w:szCs w:val="22"/>
        </w:rPr>
        <w:t>.  Upon the occurrence and during the continuance of an Event of Default or Termination Event, as may be defined in any Contract, if Counterparty fails or refuses to pay any Obligations and Enron has elected to exercise its rights under this Guaranty, Enron shall make a demand upon Guarantor (hereinafter referred to as a “Payment Demand”).  A Payment Demand shall be in writing and shall reasonably and briefly specify in what manner and what amount Counterparty has failed to pay and an explanation of why such payment is due, with a specific statement that Enron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Counterparty or Guarantor has cured such default, and additional written demands concerning such default shall not be required until such default is cured.  As used herein, the term “Business Day” shall mean a day on which commercial banks or financial institutions are open for business in Houston, Texas and New York, New York.</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3.  </w:t>
      </w:r>
      <w:r>
        <w:rPr>
          <w:sz w:val="22"/>
          <w:szCs w:val="22"/>
          <w:u w:val="single"/>
        </w:rPr>
        <w:t>REPRESENTATIONS AND WARRANTIES</w:t>
      </w:r>
      <w:r>
        <w:rPr>
          <w:sz w:val="22"/>
          <w:szCs w:val="22"/>
        </w:rPr>
        <w:t>.  Guarantor represents and warrants that:</w:t>
      </w:r>
    </w:p>
    <w:p>
      <w:pPr>
        <w:pStyle w:val="Normal"/>
        <w:spacing w:lineRule="exact" w:line="240" w:before="240" w:after="0"/>
        <w:ind w:start="720" w:end="0"/>
        <w:jc w:val="both"/>
        <w:rPr/>
      </w:pPr>
      <w:r>
        <w:rPr>
          <w:sz w:val="22"/>
          <w:szCs w:val="22"/>
        </w:rPr>
        <w:t xml:space="preserve">(a)  it is a corporation duly organized and validly existing under the laws of the State </w:t>
      </w:r>
      <w:r>
        <w:rPr>
          <w:color w:val="FF0000"/>
          <w:sz w:val="22"/>
          <w:szCs w:val="22"/>
        </w:rPr>
        <w:t>[</w:t>
      </w:r>
      <w:r>
        <w:rPr>
          <w:sz w:val="22"/>
          <w:szCs w:val="22"/>
        </w:rPr>
        <w:t>Province</w:t>
      </w:r>
      <w:r>
        <w:rPr>
          <w:color w:val="FF0000"/>
          <w:sz w:val="22"/>
          <w:szCs w:val="22"/>
        </w:rPr>
        <w:t>]</w:t>
      </w:r>
      <w:r>
        <w:rPr>
          <w:sz w:val="22"/>
          <w:szCs w:val="22"/>
        </w:rPr>
        <w:t xml:space="preserve"> of ______________________ and has the corporate power and authority to execute, deliver and carry out the terms and provisions of the Guaranty; </w:t>
      </w:r>
    </w:p>
    <w:p>
      <w:pPr>
        <w:pStyle w:val="Normal"/>
        <w:spacing w:lineRule="exact" w:line="240" w:before="240" w:after="0"/>
        <w:ind w:start="720" w:end="0"/>
        <w:jc w:val="both"/>
        <w:rPr>
          <w:sz w:val="22"/>
          <w:szCs w:val="22"/>
        </w:rPr>
      </w:pPr>
      <w:r>
        <w:rPr>
          <w:sz w:val="22"/>
          <w:szCs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BodyTextIndent3"/>
        <w:widowControl w:val="false"/>
        <w:spacing w:lineRule="exact" w:line="240" w:before="240" w:after="0"/>
        <w:rPr/>
      </w:pPr>
      <w:r>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4.  </w:t>
      </w:r>
      <w:r>
        <w:rPr>
          <w:sz w:val="22"/>
          <w:szCs w:val="22"/>
          <w:u w:val="single"/>
        </w:rPr>
        <w:t>SETOFFS AND COUNTERCLAIMS</w:t>
      </w:r>
      <w:r>
        <w:rPr>
          <w:sz w:val="22"/>
          <w:szCs w:val="22"/>
        </w:rPr>
        <w:t>.  Without limiting Guarantor’s own defenses and rights hereunder, Guarantor reserves to itself all rights, setoffs, counterclaims and other defenses to which Counterparty or any other affiliate of Guarantor is or may be entitled to arising from or out of the Contract or otherwise, except for defenses arising out of the bankruptcy, insolvency, dissolution or liquidation of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5.  </w:t>
      </w:r>
      <w:r>
        <w:rPr>
          <w:sz w:val="22"/>
          <w:szCs w:val="22"/>
          <w:u w:val="single"/>
        </w:rPr>
        <w:t>AMENDMENT OF GUARANTY</w:t>
      </w:r>
      <w:r>
        <w:rPr>
          <w:sz w:val="22"/>
          <w:szCs w:val="22"/>
        </w:rPr>
        <w:t>.  No term or provision of this Guaranty shall be amended, modified, altered, waived or supplemented except in a writing signed by Guarantor and Enron.</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6.  </w:t>
      </w:r>
      <w:r>
        <w:rPr>
          <w:sz w:val="22"/>
          <w:szCs w:val="22"/>
          <w:u w:val="single"/>
        </w:rPr>
        <w:t>WAIVERS</w:t>
      </w:r>
      <w:r>
        <w:rPr>
          <w:sz w:val="22"/>
          <w:szCs w:val="22"/>
        </w:rPr>
        <w:t>.  Except as required in Section 2 above, Guarantor hereby waives (a) notice of acceptance of this Guaranty; (b) presentment and demand concerning the liabilities of Guarantor; and (c) any right to require that any action or proceeding be brought against Counterparty or any other person, or to require that Enron seek enforcement of any performance against Counterparty or any other person, prior to any action against Guarantor under the terms hereof.  Except as to applicable statutes of limitation, no delay of Enron in the exercise of, or failure to exercise, any rights hereunder shall operate as a waiver of such rights, a waiver of any other rights or a release of Guarantor from any obligations hereunder.  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may terminate this Guaranty by providing written notice of such termination to Enron and upon the effectiveness of such termination, Guarantor shall have no further liability hereunder, except as provided in the last sentence of this paragraph.  No such termination shall be effective until five (5) Business Days after receipt by Enron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7.  </w:t>
      </w:r>
      <w:r>
        <w:rPr>
          <w:sz w:val="22"/>
          <w:szCs w:val="22"/>
          <w:u w:val="single"/>
        </w:rPr>
        <w:t>NOTICE</w:t>
      </w:r>
      <w:r>
        <w:rPr>
          <w:sz w:val="22"/>
          <w:szCs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keepNext w:val="true"/>
        <w:spacing w:lineRule="atLeast" w:line="240"/>
        <w:ind w:start="1440" w:end="0"/>
        <w:jc w:val="both"/>
        <w:rPr>
          <w:sz w:val="22"/>
          <w:szCs w:val="22"/>
        </w:rPr>
      </w:pPr>
      <w:r>
        <w:rPr>
          <w:sz w:val="22"/>
          <w:szCs w:val="22"/>
        </w:rPr>
      </w:r>
    </w:p>
    <w:tbl>
      <w:tblPr>
        <w:tblW w:w="10098" w:type="dxa"/>
        <w:jc w:val="start"/>
        <w:tblInd w:w="0" w:type="dxa"/>
        <w:tblLayout w:type="fixed"/>
        <w:tblCellMar>
          <w:top w:w="0" w:type="dxa"/>
          <w:start w:w="108" w:type="dxa"/>
          <w:bottom w:w="0" w:type="dxa"/>
          <w:end w:w="108" w:type="dxa"/>
        </w:tblCellMar>
      </w:tblPr>
      <w:tblGrid>
        <w:gridCol w:w="1098"/>
        <w:gridCol w:w="4230"/>
        <w:gridCol w:w="1620"/>
        <w:gridCol w:w="3150"/>
      </w:tblGrid>
      <w:tr>
        <w:trPr/>
        <w:tc>
          <w:tcPr>
            <w:tcW w:w="1098" w:type="dxa"/>
            <w:tcBorders/>
          </w:tcPr>
          <w:p>
            <w:pPr>
              <w:pStyle w:val="Normal"/>
              <w:keepNext w:val="true"/>
              <w:keepLines/>
              <w:spacing w:lineRule="atLeast" w:line="240"/>
              <w:rPr>
                <w:sz w:val="22"/>
                <w:szCs w:val="22"/>
              </w:rPr>
            </w:pPr>
            <w:r>
              <w:rPr>
                <w:sz w:val="22"/>
                <w:szCs w:val="22"/>
              </w:rPr>
              <w:t>To Enron:</w:t>
            </w:r>
          </w:p>
        </w:tc>
        <w:tc>
          <w:tcPr>
            <w:tcW w:w="4230" w:type="dxa"/>
            <w:tcBorders/>
          </w:tcPr>
          <w:p>
            <w:pPr>
              <w:pStyle w:val="Normal"/>
              <w:keepNext w:val="true"/>
              <w:keepLines/>
              <w:spacing w:lineRule="atLeast" w:line="240"/>
              <w:rPr>
                <w:sz w:val="22"/>
                <w:szCs w:val="22"/>
              </w:rPr>
            </w:pPr>
            <w:r>
              <w:rPr>
                <w:sz w:val="22"/>
                <w:szCs w:val="22"/>
              </w:rPr>
              <w:t xml:space="preserve">Enron North America Corp. </w:t>
            </w:r>
            <w:r>
              <w:rPr>
                <w:color w:val="FF0000"/>
                <w:sz w:val="22"/>
                <w:szCs w:val="22"/>
              </w:rPr>
              <w:t>[</w:t>
            </w:r>
            <w:r>
              <w:rPr>
                <w:sz w:val="22"/>
                <w:szCs w:val="22"/>
              </w:rPr>
              <w:t>or other Enron affiliate</w:t>
            </w:r>
            <w:r>
              <w:rPr>
                <w:color w:val="FF0000"/>
                <w:sz w:val="22"/>
                <w:szCs w:val="22"/>
              </w:rPr>
              <w:t>]</w:t>
            </w:r>
          </w:p>
        </w:tc>
        <w:tc>
          <w:tcPr>
            <w:tcW w:w="1620" w:type="dxa"/>
            <w:tcBorders/>
          </w:tcPr>
          <w:p>
            <w:pPr>
              <w:pStyle w:val="Normal"/>
              <w:keepNext w:val="true"/>
              <w:keepLines/>
              <w:spacing w:lineRule="atLeast" w:line="240"/>
              <w:rPr>
                <w:sz w:val="22"/>
                <w:szCs w:val="22"/>
              </w:rPr>
            </w:pPr>
            <w:r>
              <w:rPr>
                <w:sz w:val="22"/>
                <w:szCs w:val="22"/>
              </w:rPr>
              <w:t>To Guarantor:</w:t>
            </w:r>
          </w:p>
        </w:tc>
        <w:tc>
          <w:tcPr>
            <w:tcW w:w="3150" w:type="dxa"/>
            <w:tcBorders/>
          </w:tcPr>
          <w:p>
            <w:pPr>
              <w:pStyle w:val="Normal"/>
              <w:keepNext w:val="true"/>
              <w:keepLines/>
              <w:tabs>
                <w:tab w:val="clear" w:pos="720"/>
                <w:tab w:val="right" w:pos="2988" w:leader="none"/>
              </w:tabs>
              <w:snapToGrid w:val="false"/>
              <w:spacing w:lineRule="atLeast" w:line="240"/>
              <w:rPr>
                <w:sz w:val="22"/>
                <w:szCs w:val="22"/>
                <w:u w:val="single"/>
              </w:rPr>
            </w:pPr>
            <w:r>
              <w:rPr>
                <w:sz w:val="22"/>
                <w:szCs w:val="22"/>
                <w:u w:val="single"/>
              </w:rPr>
            </w:r>
          </w:p>
          <w:p>
            <w:pPr>
              <w:pStyle w:val="Normal"/>
              <w:keepNext w:val="true"/>
              <w:keepLines/>
              <w:tabs>
                <w:tab w:val="clear" w:pos="720"/>
                <w:tab w:val="right" w:pos="2988" w:leader="none"/>
              </w:tabs>
              <w:spacing w:lineRule="atLeast" w:line="240"/>
              <w:rPr>
                <w:sz w:val="22"/>
                <w:szCs w:val="22"/>
                <w:u w:val="single"/>
              </w:rPr>
            </w:pPr>
            <w:r>
              <w:rPr>
                <w:sz w:val="22"/>
                <w:szCs w:val="22"/>
                <w:u w:val="single"/>
              </w:rPr>
            </w:r>
          </w:p>
        </w:tc>
      </w:tr>
      <w:tr>
        <w:trPr/>
        <w:tc>
          <w:tcPr>
            <w:tcW w:w="1098" w:type="dxa"/>
            <w:tcBorders/>
          </w:tcPr>
          <w:p>
            <w:pPr>
              <w:pStyle w:val="Normal"/>
              <w:keepNext w:val="true"/>
              <w:keepLines/>
              <w:snapToGrid w:val="false"/>
              <w:spacing w:lineRule="atLeast" w:line="240"/>
              <w:rPr>
                <w:sz w:val="22"/>
                <w:szCs w:val="22"/>
              </w:rPr>
            </w:pPr>
            <w:r>
              <w:rPr>
                <w:sz w:val="22"/>
                <w:szCs w:val="22"/>
              </w:rPr>
            </w:r>
          </w:p>
        </w:tc>
        <w:tc>
          <w:tcPr>
            <w:tcW w:w="4230" w:type="dxa"/>
            <w:tcBorders/>
          </w:tcPr>
          <w:p>
            <w:pPr>
              <w:pStyle w:val="Normal"/>
              <w:keepNext w:val="true"/>
              <w:keepLines/>
              <w:spacing w:lineRule="atLeast" w:line="240"/>
              <w:rPr>
                <w:sz w:val="22"/>
                <w:szCs w:val="22"/>
              </w:rPr>
            </w:pPr>
            <w:r>
              <w:rPr>
                <w:sz w:val="22"/>
                <w:szCs w:val="22"/>
              </w:rPr>
              <w:t>1400 Smith Street</w:t>
            </w:r>
          </w:p>
        </w:tc>
        <w:tc>
          <w:tcPr>
            <w:tcW w:w="1620" w:type="dxa"/>
            <w:tcBorders/>
          </w:tcPr>
          <w:p>
            <w:pPr>
              <w:pStyle w:val="Normal"/>
              <w:keepNext w:val="true"/>
              <w:keepLines/>
              <w:snapToGrid w:val="false"/>
              <w:spacing w:lineRule="atLeast" w:line="240"/>
              <w:rPr>
                <w:sz w:val="22"/>
                <w:szCs w:val="22"/>
              </w:rPr>
            </w:pPr>
            <w:r>
              <w:rPr>
                <w:sz w:val="22"/>
                <w:szCs w:val="22"/>
              </w:rPr>
            </w:r>
          </w:p>
        </w:tc>
        <w:tc>
          <w:tcPr>
            <w:tcW w:w="3150" w:type="dxa"/>
            <w:tcBorders/>
          </w:tcPr>
          <w:p>
            <w:pPr>
              <w:pStyle w:val="Normal"/>
              <w:keepNext w:val="true"/>
              <w:keepLines/>
              <w:tabs>
                <w:tab w:val="clear" w:pos="720"/>
                <w:tab w:val="right" w:pos="2988" w:leader="none"/>
              </w:tabs>
              <w:snapToGrid w:val="false"/>
              <w:spacing w:lineRule="atLeast" w:line="240"/>
              <w:ind w:end="72"/>
              <w:rPr>
                <w:sz w:val="22"/>
                <w:szCs w:val="22"/>
              </w:rPr>
            </w:pPr>
            <w:r>
              <w:rPr>
                <w:sz w:val="22"/>
                <w:szCs w:val="22"/>
              </w:rPr>
            </w:r>
          </w:p>
        </w:tc>
      </w:tr>
      <w:tr>
        <w:trPr/>
        <w:tc>
          <w:tcPr>
            <w:tcW w:w="1098" w:type="dxa"/>
            <w:tcBorders/>
          </w:tcPr>
          <w:p>
            <w:pPr>
              <w:pStyle w:val="Normal"/>
              <w:keepNext w:val="true"/>
              <w:keepLines/>
              <w:snapToGrid w:val="false"/>
              <w:spacing w:lineRule="atLeast" w:line="240"/>
              <w:rPr>
                <w:sz w:val="22"/>
                <w:szCs w:val="22"/>
              </w:rPr>
            </w:pPr>
            <w:r>
              <w:rPr>
                <w:sz w:val="22"/>
                <w:szCs w:val="22"/>
              </w:rPr>
            </w:r>
          </w:p>
        </w:tc>
        <w:tc>
          <w:tcPr>
            <w:tcW w:w="4230" w:type="dxa"/>
            <w:tcBorders/>
          </w:tcPr>
          <w:p>
            <w:pPr>
              <w:pStyle w:val="Normal"/>
              <w:keepNext w:val="true"/>
              <w:keepLines/>
              <w:spacing w:lineRule="atLeast" w:line="240"/>
              <w:rPr>
                <w:sz w:val="22"/>
                <w:szCs w:val="22"/>
              </w:rPr>
            </w:pPr>
            <w:r>
              <w:rPr>
                <w:sz w:val="22"/>
                <w:szCs w:val="22"/>
              </w:rPr>
              <w:t>Houston, Texas 77002</w:t>
            </w:r>
          </w:p>
        </w:tc>
        <w:tc>
          <w:tcPr>
            <w:tcW w:w="1620" w:type="dxa"/>
            <w:tcBorders/>
          </w:tcPr>
          <w:p>
            <w:pPr>
              <w:pStyle w:val="Normal"/>
              <w:keepNext w:val="true"/>
              <w:keepLines/>
              <w:snapToGrid w:val="false"/>
              <w:spacing w:lineRule="atLeast" w:line="240"/>
              <w:rPr>
                <w:sz w:val="22"/>
                <w:szCs w:val="22"/>
              </w:rPr>
            </w:pPr>
            <w:r>
              <w:rPr>
                <w:sz w:val="22"/>
                <w:szCs w:val="22"/>
              </w:rPr>
            </w:r>
          </w:p>
        </w:tc>
        <w:tc>
          <w:tcPr>
            <w:tcW w:w="3150" w:type="dxa"/>
            <w:tcBorders/>
          </w:tcPr>
          <w:p>
            <w:pPr>
              <w:pStyle w:val="Normal"/>
              <w:keepNext w:val="true"/>
              <w:keepLines/>
              <w:tabs>
                <w:tab w:val="clear" w:pos="720"/>
                <w:tab w:val="right" w:pos="2988" w:leader="none"/>
              </w:tabs>
              <w:snapToGrid w:val="false"/>
              <w:spacing w:lineRule="atLeast" w:line="240"/>
              <w:rPr>
                <w:sz w:val="22"/>
                <w:szCs w:val="22"/>
              </w:rPr>
            </w:pPr>
            <w:r>
              <w:rPr>
                <w:sz w:val="22"/>
                <w:szCs w:val="22"/>
              </w:rPr>
            </w:r>
          </w:p>
        </w:tc>
      </w:tr>
      <w:tr>
        <w:trPr/>
        <w:tc>
          <w:tcPr>
            <w:tcW w:w="1098" w:type="dxa"/>
            <w:tcBorders/>
          </w:tcPr>
          <w:p>
            <w:pPr>
              <w:pStyle w:val="Normal"/>
              <w:keepNext w:val="true"/>
              <w:keepLines/>
              <w:snapToGrid w:val="false"/>
              <w:spacing w:lineRule="atLeast" w:line="240"/>
              <w:rPr>
                <w:sz w:val="22"/>
                <w:szCs w:val="22"/>
              </w:rPr>
            </w:pPr>
            <w:r>
              <w:rPr>
                <w:sz w:val="22"/>
                <w:szCs w:val="22"/>
              </w:rPr>
            </w:r>
          </w:p>
        </w:tc>
        <w:tc>
          <w:tcPr>
            <w:tcW w:w="4230" w:type="dxa"/>
            <w:tcBorders/>
          </w:tcPr>
          <w:p>
            <w:pPr>
              <w:pStyle w:val="Normal"/>
              <w:keepNext w:val="true"/>
              <w:keepLines/>
              <w:spacing w:lineRule="atLeast" w:line="240"/>
              <w:rPr>
                <w:sz w:val="22"/>
                <w:szCs w:val="22"/>
              </w:rPr>
            </w:pPr>
            <w:r>
              <w:rPr>
                <w:sz w:val="22"/>
                <w:szCs w:val="22"/>
              </w:rPr>
              <w:t>Attn.:  Director, Documentation Department</w:t>
            </w:r>
          </w:p>
        </w:tc>
        <w:tc>
          <w:tcPr>
            <w:tcW w:w="1620" w:type="dxa"/>
            <w:tcBorders/>
          </w:tcPr>
          <w:p>
            <w:pPr>
              <w:pStyle w:val="Normal"/>
              <w:keepNext w:val="true"/>
              <w:keepLines/>
              <w:snapToGrid w:val="false"/>
              <w:spacing w:lineRule="atLeast" w:line="240"/>
              <w:rPr>
                <w:sz w:val="22"/>
                <w:szCs w:val="22"/>
              </w:rPr>
            </w:pPr>
            <w:r>
              <w:rPr>
                <w:sz w:val="22"/>
                <w:szCs w:val="22"/>
              </w:rPr>
            </w:r>
          </w:p>
        </w:tc>
        <w:tc>
          <w:tcPr>
            <w:tcW w:w="3150" w:type="dxa"/>
            <w:tcBorders/>
          </w:tcPr>
          <w:p>
            <w:pPr>
              <w:pStyle w:val="Normal"/>
              <w:keepNext w:val="true"/>
              <w:keepLines/>
              <w:tabs>
                <w:tab w:val="clear" w:pos="720"/>
                <w:tab w:val="right" w:pos="2988" w:leader="none"/>
              </w:tabs>
              <w:spacing w:lineRule="atLeast" w:line="240"/>
              <w:rPr>
                <w:sz w:val="22"/>
                <w:szCs w:val="22"/>
              </w:rPr>
            </w:pPr>
            <w:r>
              <w:rPr>
                <w:sz w:val="22"/>
                <w:szCs w:val="22"/>
              </w:rPr>
              <w:t>Attn.:</w:t>
            </w:r>
            <w:r>
              <w:rPr>
                <w:sz w:val="22"/>
                <w:szCs w:val="22"/>
                <w:u w:val="single"/>
              </w:rPr>
              <w:tab/>
            </w:r>
          </w:p>
        </w:tc>
      </w:tr>
      <w:tr>
        <w:trPr/>
        <w:tc>
          <w:tcPr>
            <w:tcW w:w="1098" w:type="dxa"/>
            <w:tcBorders/>
          </w:tcPr>
          <w:p>
            <w:pPr>
              <w:pStyle w:val="Normal"/>
              <w:keepNext w:val="true"/>
              <w:keepLines/>
              <w:snapToGrid w:val="false"/>
              <w:spacing w:lineRule="atLeast" w:line="240"/>
              <w:rPr>
                <w:sz w:val="22"/>
                <w:szCs w:val="22"/>
              </w:rPr>
            </w:pPr>
            <w:r>
              <w:rPr>
                <w:sz w:val="22"/>
                <w:szCs w:val="22"/>
              </w:rPr>
            </w:r>
          </w:p>
        </w:tc>
        <w:tc>
          <w:tcPr>
            <w:tcW w:w="4230" w:type="dxa"/>
            <w:tcBorders/>
          </w:tcPr>
          <w:p>
            <w:pPr>
              <w:pStyle w:val="Normal"/>
              <w:keepNext w:val="true"/>
              <w:keepLines/>
              <w:spacing w:lineRule="atLeast" w:line="240"/>
              <w:rPr>
                <w:sz w:val="22"/>
                <w:szCs w:val="22"/>
              </w:rPr>
            </w:pPr>
            <w:r>
              <w:rPr>
                <w:sz w:val="22"/>
                <w:szCs w:val="22"/>
              </w:rPr>
              <w:t>Fax No.:  (713) 646-4816</w:t>
            </w:r>
          </w:p>
        </w:tc>
        <w:tc>
          <w:tcPr>
            <w:tcW w:w="1620" w:type="dxa"/>
            <w:tcBorders/>
          </w:tcPr>
          <w:p>
            <w:pPr>
              <w:pStyle w:val="Normal"/>
              <w:keepNext w:val="true"/>
              <w:keepLines/>
              <w:snapToGrid w:val="false"/>
              <w:spacing w:lineRule="atLeast" w:line="240"/>
              <w:rPr>
                <w:sz w:val="22"/>
                <w:szCs w:val="22"/>
              </w:rPr>
            </w:pPr>
            <w:r>
              <w:rPr>
                <w:sz w:val="22"/>
                <w:szCs w:val="22"/>
              </w:rPr>
            </w:r>
          </w:p>
        </w:tc>
        <w:tc>
          <w:tcPr>
            <w:tcW w:w="3150" w:type="dxa"/>
            <w:tcBorders/>
          </w:tcPr>
          <w:p>
            <w:pPr>
              <w:pStyle w:val="Normal"/>
              <w:keepNext w:val="true"/>
              <w:keepLines/>
              <w:tabs>
                <w:tab w:val="clear" w:pos="720"/>
                <w:tab w:val="right" w:pos="2988" w:leader="none"/>
              </w:tabs>
              <w:spacing w:lineRule="atLeast" w:line="240"/>
              <w:rPr>
                <w:sz w:val="22"/>
                <w:szCs w:val="22"/>
              </w:rPr>
            </w:pPr>
            <w:r>
              <w:rPr>
                <w:sz w:val="22"/>
                <w:szCs w:val="22"/>
              </w:rPr>
              <w:t>Fax No.:</w:t>
            </w:r>
            <w:r>
              <w:rPr>
                <w:sz w:val="22"/>
                <w:szCs w:val="22"/>
                <w:u w:val="single"/>
              </w:rPr>
              <w:tab/>
            </w:r>
          </w:p>
        </w:tc>
      </w:tr>
    </w:tbl>
    <w:p>
      <w:pPr>
        <w:pStyle w:val="Normal"/>
        <w:tabs>
          <w:tab w:val="clear" w:pos="720"/>
          <w:tab w:val="left" w:pos="6480" w:leader="none"/>
        </w:tabs>
        <w:spacing w:lineRule="atLeast" w:line="240"/>
        <w:jc w:val="both"/>
        <w:rPr>
          <w:sz w:val="22"/>
          <w:szCs w:val="22"/>
        </w:rPr>
      </w:pPr>
      <w:r>
        <w:rPr>
          <w:sz w:val="22"/>
          <w:szCs w:val="22"/>
        </w:rPr>
      </w:r>
    </w:p>
    <w:p>
      <w:pPr>
        <w:pStyle w:val="Normal"/>
        <w:tabs>
          <w:tab w:val="clear" w:pos="720"/>
          <w:tab w:val="left" w:pos="6480" w:leader="none"/>
        </w:tabs>
        <w:spacing w:lineRule="atLeast" w:line="240"/>
        <w:jc w:val="both"/>
        <w:rPr>
          <w:sz w:val="22"/>
          <w:szCs w:val="22"/>
        </w:rPr>
      </w:pPr>
      <w:r>
        <w:rPr>
          <w:sz w:val="22"/>
          <w:szCs w:val="22"/>
        </w:rPr>
        <w:t>A copy of any Notice sent to Enron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3600" w:end="720"/>
        <w:jc w:val="both"/>
        <w:rPr>
          <w:sz w:val="22"/>
          <w:szCs w:val="22"/>
        </w:rPr>
      </w:pPr>
      <w:r>
        <w:rPr>
          <w:sz w:val="22"/>
          <w:szCs w:val="22"/>
        </w:rPr>
      </w:r>
    </w:p>
    <w:p>
      <w:pPr>
        <w:pStyle w:val="Normal"/>
        <w:spacing w:lineRule="atLeast" w:line="240"/>
        <w:ind w:firstLine="720" w:end="0"/>
        <w:jc w:val="both"/>
        <w:rPr>
          <w:sz w:val="22"/>
          <w:szCs w:val="22"/>
        </w:rPr>
      </w:pPr>
      <w:r>
        <w:rPr>
          <w:sz w:val="22"/>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8.  </w:t>
      </w:r>
      <w:r>
        <w:rPr>
          <w:sz w:val="22"/>
          <w:szCs w:val="22"/>
          <w:u w:val="single"/>
        </w:rPr>
        <w:t>MISCELLANEOUS</w:t>
      </w:r>
      <w:r>
        <w:rPr>
          <w:sz w:val="22"/>
          <w:szCs w:val="22"/>
        </w:rPr>
        <w:t xml:space="preserve">.  This Guaranty shall in all respects be governed by, and construed in accordance with, the law of the State of </w:t>
      </w:r>
      <w:r>
        <w:rPr>
          <w:color w:val="FF0000"/>
          <w:sz w:val="22"/>
          <w:szCs w:val="22"/>
        </w:rPr>
        <w:t>[</w:t>
      </w:r>
      <w:r>
        <w:rPr>
          <w:sz w:val="22"/>
          <w:szCs w:val="22"/>
        </w:rPr>
        <w:t>Texas</w:t>
      </w:r>
      <w:r>
        <w:rPr>
          <w:color w:val="FF0000"/>
          <w:sz w:val="22"/>
          <w:szCs w:val="22"/>
        </w:rPr>
        <w:t>][</w:t>
      </w:r>
      <w:r>
        <w:rPr>
          <w:sz w:val="22"/>
          <w:szCs w:val="22"/>
        </w:rPr>
        <w:t>New York</w:t>
      </w:r>
      <w:r>
        <w:rPr>
          <w:color w:val="FF0000"/>
          <w:sz w:val="22"/>
          <w:szCs w:val="22"/>
        </w:rPr>
        <w:t>][</w:t>
      </w:r>
      <w:r>
        <w:rPr>
          <w:sz w:val="22"/>
          <w:szCs w:val="22"/>
        </w:rPr>
        <w:t>Province of ______________</w:t>
      </w:r>
      <w:r>
        <w:rPr>
          <w:color w:val="FF0000"/>
          <w:sz w:val="22"/>
          <w:szCs w:val="22"/>
        </w:rPr>
        <w:t>]</w:t>
      </w:r>
      <w:r>
        <w:rPr>
          <w:sz w:val="22"/>
          <w:szCs w:val="22"/>
        </w:rPr>
        <w:t>, without regard to principles of conflicts of laws.  This Guaranty shall be binding upon Guarantor, its successors and assigns and inure to the benefit of and be enforceable by Enron, its successors and assigns.  This Guaranty embodies the entire agreement and understanding between Guarantor and Enron and supersedes all prior agreements and understandings relating to the subject matter hereof. The headings in this Guaranty are for purposes of reference only, and shall not affect the meaning hereof.</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IN WITNESS WHEREOF, the Guarantor has executed this Guaranty on </w:t>
      </w:r>
      <w:r>
        <w:rPr>
          <w:sz w:val="22"/>
          <w:szCs w:val="22"/>
          <w:u w:val="single"/>
        </w:rPr>
        <w:tab/>
        <w:tab/>
      </w:r>
      <w:r>
        <w:rPr>
          <w:sz w:val="22"/>
          <w:szCs w:val="22"/>
        </w:rPr>
        <w:t>, 200_, but it is effective as of the Effective Date.</w:t>
      </w:r>
    </w:p>
    <w:p>
      <w:pPr>
        <w:pStyle w:val="Normal"/>
        <w:spacing w:lineRule="atLeast" w:line="240"/>
        <w:jc w:val="both"/>
        <w:rPr>
          <w:b/>
          <w:bCs/>
          <w:sz w:val="22"/>
          <w:szCs w:val="22"/>
        </w:rPr>
      </w:pPr>
      <w:r>
        <w:rPr>
          <w:b/>
          <w:bCs/>
          <w:sz w:val="22"/>
          <w:szCs w:val="22"/>
        </w:rPr>
      </w:r>
    </w:p>
    <w:p>
      <w:pPr>
        <w:pStyle w:val="Normal"/>
        <w:spacing w:lineRule="exact" w:line="240"/>
        <w:ind w:start="5040" w:end="0"/>
        <w:jc w:val="both"/>
        <w:rPr>
          <w:sz w:val="22"/>
          <w:szCs w:val="22"/>
        </w:rPr>
      </w:pPr>
      <w:r>
        <w:rPr>
          <w:b/>
          <w:bCs/>
          <w:sz w:val="22"/>
          <w:szCs w:val="22"/>
        </w:rPr>
        <w:t>[GUARANTOR]</w:t>
      </w:r>
    </w:p>
    <w:p>
      <w:pPr>
        <w:pStyle w:val="Normal"/>
        <w:spacing w:lineRule="exact" w:line="240"/>
        <w:ind w:start="5040" w:end="0"/>
        <w:jc w:val="both"/>
        <w:rPr>
          <w:sz w:val="22"/>
          <w:szCs w:val="22"/>
        </w:rPr>
      </w:pPr>
      <w:r>
        <w:rPr>
          <w:sz w:val="22"/>
          <w:szCs w:val="22"/>
        </w:rPr>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sz w:val="22"/>
          <w:szCs w:val="22"/>
        </w:rPr>
      </w:pPr>
      <w:r>
        <w:rPr>
          <w:sz w:val="22"/>
          <w:szCs w:val="22"/>
        </w:rPr>
        <w:t xml:space="preserve">By:  </w:t>
      </w:r>
      <w:r>
        <w:rPr>
          <w:sz w:val="22"/>
          <w:szCs w:val="22"/>
          <w:u w:val="single"/>
        </w:rPr>
        <w:tab/>
        <w:tab/>
        <w:tab/>
        <w:tab/>
        <w:tab/>
      </w:r>
    </w:p>
    <w:p>
      <w:pPr>
        <w:pStyle w:val="Normal"/>
        <w:spacing w:lineRule="atLeast" w:line="240"/>
        <w:ind w:start="5040" w:end="0"/>
        <w:jc w:val="both"/>
        <w:rPr>
          <w:sz w:val="22"/>
          <w:szCs w:val="22"/>
        </w:rPr>
      </w:pPr>
      <w:r>
        <w:rPr>
          <w:sz w:val="22"/>
          <w:szCs w:val="22"/>
        </w:rPr>
        <w:t xml:space="preserve">Name:  </w:t>
      </w:r>
      <w:r>
        <w:rPr>
          <w:sz w:val="22"/>
          <w:szCs w:val="22"/>
          <w:u w:val="single"/>
        </w:rPr>
        <w:tab/>
        <w:tab/>
        <w:tab/>
        <w:tab/>
        <w:tab/>
      </w:r>
    </w:p>
    <w:p>
      <w:pPr>
        <w:pStyle w:val="Normal"/>
        <w:spacing w:lineRule="atLeast" w:line="240"/>
        <w:ind w:start="5040" w:end="0"/>
        <w:jc w:val="both"/>
        <w:rPr/>
      </w:pPr>
      <w:r>
        <w:rPr>
          <w:sz w:val="22"/>
          <w:szCs w:val="22"/>
        </w:rPr>
        <w:t xml:space="preserve">Title:  </w:t>
      </w:r>
      <w:r>
        <w:rPr>
          <w:sz w:val="22"/>
          <w:szCs w:val="22"/>
          <w:u w:val="single"/>
        </w:rPr>
        <w:tab/>
        <w:tab/>
        <w:tab/>
        <w:tab/>
        <w:tab/>
      </w:r>
    </w:p>
    <w:p>
      <w:pPr>
        <w:pStyle w:val="Normal"/>
        <w:rPr>
          <w:sz w:val="22"/>
          <w:szCs w:val="22"/>
          <w:u w:val="single"/>
        </w:rPr>
      </w:pPr>
      <w:r>
        <w:rPr>
          <w:sz w:val="22"/>
          <w:szCs w:val="22"/>
          <w:u w:val="single"/>
        </w:rPr>
      </w:r>
    </w:p>
    <w:sectPr>
      <w:headerReference w:type="default" r:id="rId4"/>
      <w:headerReference w:type="first" r:id="rId5"/>
      <w:footerReference w:type="default" r:id="rId6"/>
      <w:footerReference w:type="first" r:id="rId7"/>
      <w:footnotePr>
        <w:numFmt w:val="decimal"/>
      </w:footnotePr>
      <w:type w:val="nextPage"/>
      <w:pgSz w:w="12240" w:h="15840"/>
      <w:pgMar w:left="1080" w:right="1080" w:gutter="0" w:header="720" w:top="144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rFonts w:ascii="Times New Roman" w:hAnsi="Times New Roman" w:cs="Times New Roman"/>
      </w:rPr>
    </w:pPr>
    <w:r>
      <w:rPr>
        <w:rFonts w:cs="Times New Roman" w:ascii="Times New Roman" w:hAnsi="Times New Roman"/>
      </w:rPr>
      <w:t>Exhibit A</w:t>
    </w:r>
  </w:p>
  <w:p>
    <w:pPr>
      <w:pStyle w:val="Footer"/>
      <w:widowControl/>
      <w:jc w:val="center"/>
      <w:rPr/>
    </w:pPr>
    <w:r>
      <w:rPr>
        <w:rFonts w:cs="Times New Roman" w:ascii="Times New Roman" w:hAnsi="Times New Roman"/>
      </w:rPr>
      <w:t xml:space="preserve">Page </w:t>
    </w:r>
    <w:r>
      <w:rPr>
        <w:rFonts w:cs="Times New Roman" w:ascii="Times New Roman" w:hAnsi="Times New Roman"/>
      </w:rPr>
      <w:fldChar w:fldCharType="begin"/>
    </w:r>
    <w:r>
      <w:rPr>
        <w:rFonts w:cs="Times New Roman" w:ascii="Times New Roman" w:hAnsi="Times New Roman"/>
      </w:rPr>
      <w:instrText xml:space="preserve"> PAGE </w:instrText>
    </w:r>
    <w:r>
      <w:rPr>
        <w:rFonts w:cs="Times New Roman" w:ascii="Times New Roman" w:hAnsi="Times New Roman"/>
      </w:rPr>
      <w:fldChar w:fldCharType="separate"/>
    </w:r>
    <w:r>
      <w:rPr>
        <w:rFonts w:cs="Times New Roman" w:ascii="Times New Roman" w:hAnsi="Times New Roman"/>
      </w:rPr>
      <w:t>3</w:t>
    </w:r>
    <w:r>
      <w:rPr>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right" w:pos="8640" w:leader="none"/>
      </w:tabs>
      <w:ind w:end="360"/>
      <w:jc w:val="center"/>
      <w:rPr>
        <w:rFonts w:ascii="Times New Roman" w:hAnsi="Times New Roman" w:cs="Times New Roman"/>
      </w:rPr>
    </w:pPr>
    <w:r>
      <w:rPr>
        <w:rFonts w:cs="Times New Roman" w:ascii="Times New Roman" w:hAnsi="Times New Roman"/>
      </w:rPr>
      <w:t>Exhibit _</w:t>
    </w:r>
  </w:p>
  <w:p>
    <w:pPr>
      <w:pStyle w:val="Footer"/>
      <w:widowControl/>
      <w:tabs>
        <w:tab w:val="clear" w:pos="4320"/>
        <w:tab w:val="right" w:pos="8640" w:leader="none"/>
      </w:tabs>
      <w:ind w:end="360"/>
      <w:jc w:val="center"/>
      <w:rPr/>
    </w:pPr>
    <w:r>
      <w:rPr>
        <w:rFonts w:cs="Times New Roman" w:ascii="Times New Roman" w:hAnsi="Times New Roman"/>
      </w:rPr>
      <w:t xml:space="preserve">Page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3</w:t>
    </w:r>
    <w:r>
      <w:rPr>
        <w:rStyle w:val="PageNumber"/>
        <w:rFonts w:cs="Times New Roman" w:ascii="Times New Roman" w:hAnsi="Times New Roman"/>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sz w:val="18"/>
        </w:rPr>
        <w:t xml:space="preserve"> </w:t>
      </w:r>
      <w:r>
        <w:rPr>
          <w:sz w:val="18"/>
        </w:rPr>
        <w:t>Insert when a Master Agreement has been executed</w:t>
      </w:r>
    </w:p>
  </w:footnote>
  <w:footnote w:id="3">
    <w:p>
      <w:pPr>
        <w:pStyle w:val="FootnoteText"/>
        <w:rPr/>
      </w:pPr>
      <w:r>
        <w:rPr>
          <w:rStyle w:val="FootnoteCharacters"/>
        </w:rPr>
        <w:t>1</w:t>
      </w:r>
      <w:r>
        <w:rPr>
          <w:sz w:val="18"/>
        </w:rPr>
        <w:t xml:space="preserve"> </w:t>
      </w:r>
      <w:r>
        <w:rPr>
          <w:sz w:val="18"/>
        </w:rPr>
        <w:t>Insert when a Master Agreement has been executed</w:t>
      </w:r>
    </w:p>
  </w:footnote>
  <w:footnote w:id="4">
    <w:p>
      <w:pPr>
        <w:pStyle w:val="FootnoteText"/>
        <w:rPr/>
      </w:pPr>
      <w:r>
        <w:rPr>
          <w:rStyle w:val="FootnoteCharacters"/>
        </w:rPr>
        <w:t>1</w:t>
      </w:r>
      <w:r>
        <w:rPr>
          <w:sz w:val="18"/>
        </w:rPr>
        <w:t xml:space="preserve"> </w:t>
      </w:r>
      <w:r>
        <w:rPr>
          <w:sz w:val="18"/>
        </w:rPr>
        <w:t>Insert when a Master Agreement has been executed</w:t>
      </w:r>
    </w:p>
  </w:footnote>
  <w:footnote w:id="5">
    <w:p>
      <w:pPr>
        <w:pStyle w:val="FootnoteText"/>
        <w:rPr/>
      </w:pPr>
      <w:r>
        <w:rPr>
          <w:rStyle w:val="FootnoteCharacters"/>
        </w:rPr>
        <w:t>1</w:t>
      </w:r>
      <w:r>
        <w:rPr>
          <w:sz w:val="18"/>
        </w:rPr>
        <w:t xml:space="preserve"> </w:t>
      </w:r>
      <w:r>
        <w:rPr>
          <w:sz w:val="18"/>
        </w:rPr>
        <w:t>Insert when a Master Agreement has been executed</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sz w:val="24"/>
        <w:szCs w:val="24"/>
      </w:rPr>
    </w:pPr>
    <w:r>
      <w:rPr>
        <w:sz w:val="24"/>
        <w:szCs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sz w:val="24"/>
        <w:szCs w:val="24"/>
      </w:rPr>
    </w:pPr>
    <w:r>
      <w:rPr>
        <w:sz w:val="24"/>
        <w:szCs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ind w:hanging="0" w:start="0" w:end="180"/>
      <w:jc w:val="end"/>
      <w:outlineLvl w:val="0"/>
    </w:pPr>
    <w:rPr>
      <w:b/>
      <w:bCs/>
      <w:sz w:val="22"/>
      <w:szCs w:val="22"/>
      <w:u w:val="single"/>
    </w:rPr>
  </w:style>
  <w:style w:type="paragraph" w:styleId="Heading5">
    <w:name w:val="heading 5"/>
    <w:basedOn w:val="Normal"/>
    <w:next w:val="Normal"/>
    <w:qFormat/>
    <w:pPr>
      <w:keepNext w:val="true"/>
      <w:numPr>
        <w:ilvl w:val="4"/>
        <w:numId w:val="1"/>
      </w:numPr>
      <w:jc w:val="end"/>
      <w:outlineLvl w:val="4"/>
    </w:pPr>
    <w:rPr>
      <w:b/>
      <w:bCs/>
      <w:color w:val="FF0000"/>
      <w:sz w:val="22"/>
      <w:szCs w:val="22"/>
      <w:u w:val="single"/>
    </w:rPr>
  </w:style>
  <w:style w:type="character" w:styleId="DefaultParagraphFont">
    <w:name w:val="Default Paragraph Font"/>
    <w:qFormat/>
    <w:rPr/>
  </w:style>
  <w:style w:type="character" w:styleId="PageNumber">
    <w:name w:val="page number"/>
    <w:basedOn w:val="DefaultParagraphFont"/>
    <w:rPr>
      <w:rFonts w:ascii="Arial" w:hAnsi="Arial" w:cs="Arial"/>
      <w:sz w:val="20"/>
      <w:szCs w:val="20"/>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3">
    <w:name w:val="Body Text Indent 3"/>
    <w:basedOn w:val="Normal"/>
    <w:qFormat/>
    <w:pPr>
      <w:ind w:hanging="0" w:start="720" w:end="0"/>
      <w:jc w:val="both"/>
    </w:pPr>
    <w:rPr>
      <w:sz w:val="22"/>
      <w:szCs w:val="22"/>
    </w:rPr>
  </w:style>
  <w:style w:type="paragraph" w:styleId="Footer">
    <w:name w:val="footer"/>
    <w:basedOn w:val="Normal"/>
    <w:pPr>
      <w:widowControl w:val="false"/>
      <w:tabs>
        <w:tab w:val="clear" w:pos="720"/>
        <w:tab w:val="center" w:pos="4320" w:leader="none"/>
        <w:tab w:val="right" w:pos="8640" w:leader="none"/>
      </w:tabs>
    </w:pPr>
    <w:rPr>
      <w:rFonts w:ascii="Arial" w:hAnsi="Arial" w:cs="Arial"/>
    </w:rPr>
  </w:style>
  <w:style w:type="paragraph" w:styleId="FootnoteText">
    <w:name w:val="footnote text"/>
    <w:basedOn w:val="Normal"/>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2001-09-07T18:26:00Z</dcterms:created>
  <dc:creator>tjones</dc:creator>
  <dc:description/>
  <dc:language>en-CA</dc:language>
  <cp:lastModifiedBy>mcook</cp:lastModifiedBy>
  <cp:lastPrinted>2001-03-19T16:03:00Z</cp:lastPrinted>
  <dcterms:modified xsi:type="dcterms:W3CDTF">2001-09-07T18:44:00Z</dcterms:modified>
  <cp:revision>4</cp:revision>
  <dc:subject/>
  <dc:title>EXHIBIT A</dc:title>
</cp:coreProperties>
</file>