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09/08/99</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r>
      <w:r>
        <w:rPr>
          <w:sz w:val="22"/>
        </w:rPr>
        <w:t xml:space="preserve">, a </w:t>
      </w:r>
      <w:r>
        <w:rPr>
          <w:sz w:val="22"/>
          <w:u w:val="single"/>
        </w:rPr>
        <w:tab/>
        <w:tab/>
        <w:tab/>
      </w:r>
      <w:r>
        <w:rPr>
          <w:sz w:val="22"/>
        </w:rPr>
        <w:t xml:space="preserve"> corporation (“Counterparty”) and ENRON NORTH AMERICA CORP. </w:t>
      </w:r>
      <w:r>
        <w:rPr>
          <w:color w:val="FF0000"/>
          <w:sz w:val="22"/>
        </w:rPr>
        <w:t>[</w:t>
      </w:r>
      <w:r>
        <w:rPr>
          <w:sz w:val="22"/>
        </w:rPr>
        <w:t>_______________________</w:t>
      </w:r>
      <w:r>
        <w:rPr>
          <w:color w:val="FF0000"/>
          <w:sz w:val="22"/>
        </w:rPr>
        <w:t>]</w:t>
      </w:r>
      <w:r>
        <w:rPr>
          <w:sz w:val="22"/>
        </w:rPr>
        <w:t xml:space="preserve">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id="2"/>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sz w:val="22"/>
        </w:rPr>
      </w:pPr>
      <w:r>
        <w:rPr>
          <w:b/>
          <w:sz w:val="22"/>
          <w:u w:val="single"/>
        </w:rPr>
        <w:t xml:space="preserve">EXHIBIT </w:t>
      </w:r>
      <w:r>
        <w:rPr>
          <w:b/>
          <w:color w:val="FF0000"/>
          <w:sz w:val="22"/>
          <w:u w:val="single"/>
        </w:rPr>
        <w:t>[A][B]</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color w:val="FF0000"/>
          <w:sz w:val="22"/>
        </w:rPr>
        <w:t>[</w:t>
      </w:r>
      <w:r>
        <w:rPr>
          <w:b/>
          <w:color w:val="000000"/>
          <w:sz w:val="22"/>
        </w:rPr>
        <w:t>GUARANTOR</w:t>
      </w:r>
      <w:r>
        <w:rPr>
          <w:b/>
          <w:color w:val="FF0000"/>
          <w:sz w:val="22"/>
        </w:rPr>
        <w:t>]</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w:t>
      </w:r>
      <w:r>
        <w:rPr>
          <w:sz w:val="22"/>
          <w:u w:val="single"/>
        </w:rPr>
        <w:tab/>
      </w:r>
      <w:r>
        <w:rPr>
          <w:sz w:val="22"/>
        </w:rPr>
        <w:t xml:space="preserve">, is made and entered into by </w:t>
      </w:r>
      <w:r>
        <w:rPr>
          <w:b/>
          <w:sz w:val="22"/>
          <w:u w:val="single"/>
        </w:rPr>
        <w:t>[GUARANTOR]</w:t>
      </w:r>
      <w:r>
        <w:rPr>
          <w:sz w:val="22"/>
        </w:rPr>
        <w:t xml:space="preserve">, a </w:t>
      </w:r>
      <w:r>
        <w:rPr>
          <w:sz w:val="22"/>
          <w:u w:val="single"/>
        </w:rPr>
        <w:tab/>
        <w:tab/>
      </w:r>
      <w:r>
        <w:rPr>
          <w:sz w:val="22"/>
        </w:rPr>
        <w:t xml:space="preserv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tab/>
        <w:tab/>
      </w:r>
      <w:r>
        <w:rPr>
          <w:sz w:val="22"/>
        </w:rPr>
        <w:t xml:space="preserve">, a wholly owned subsidiary of Guarantor (“Counterparty”) and </w:t>
      </w:r>
      <w:r>
        <w:rPr>
          <w:color w:val="FF0000"/>
          <w:sz w:val="22"/>
        </w:rPr>
        <w:t>[</w:t>
      </w:r>
      <w:r>
        <w:rPr>
          <w:caps/>
          <w:sz w:val="22"/>
        </w:rPr>
        <w:t>Enron NORTH AMERICA Corp.</w:t>
      </w:r>
      <w:r>
        <w:rPr>
          <w:sz w:val="22"/>
        </w:rPr>
        <w:t>, a Delaware corporation</w:t>
      </w:r>
      <w:r>
        <w:rPr>
          <w:color w:val="FF0000"/>
          <w:sz w:val="22"/>
        </w:rPr>
        <w:t>][</w:t>
      </w:r>
      <w:r>
        <w:rPr>
          <w:sz w:val="22"/>
          <w:u w:val="single"/>
        </w:rPr>
        <w:t>insert Enron affiliate</w:t>
      </w:r>
      <w:r>
        <w:rPr>
          <w:sz w:val="22"/>
        </w:rPr>
        <w:t>, a _____________ corporation</w:t>
      </w:r>
      <w:r>
        <w:rPr>
          <w:color w:val="FF0000"/>
          <w:sz w:val="22"/>
        </w:rPr>
        <w:t>]</w:t>
      </w:r>
      <w:r>
        <w:rPr>
          <w:sz w:val="22"/>
        </w:rPr>
        <w:t xml:space="preserve"> (“Enron”),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customMarkFollows="1" w:id="3"/>
        <w:t>1</w:t>
      </w:r>
      <w:r>
        <w:rPr>
          <w:sz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corporation duly organized and validly existing under the laws of the State </w:t>
      </w:r>
      <w:r>
        <w:rPr>
          <w:color w:val="FF0000"/>
          <w:sz w:val="22"/>
        </w:rPr>
        <w:t>[</w:t>
      </w:r>
      <w:r>
        <w:rPr>
          <w:sz w:val="22"/>
        </w:rPr>
        <w:t>Province</w:t>
      </w:r>
      <w:r>
        <w:rPr>
          <w:color w:val="FF0000"/>
          <w:sz w:val="22"/>
        </w:rPr>
        <w:t>]</w:t>
      </w:r>
      <w:r>
        <w:rPr>
          <w:sz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 xml:space="preserve">Enron North America Corp. </w:t>
            </w:r>
            <w:r>
              <w:rPr>
                <w:color w:val="FF0000"/>
                <w:sz w:val="22"/>
              </w:rPr>
              <w:t>[</w:t>
            </w:r>
            <w:r>
              <w:rPr>
                <w:sz w:val="22"/>
              </w:rPr>
              <w:t>or other Enron affiliate</w:t>
            </w:r>
            <w:r>
              <w:rPr>
                <w:color w:val="FF0000"/>
                <w:sz w:val="22"/>
              </w:rPr>
              <w:t>]</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This Guaranty shall in all respects be governed by, and construed in accordance with, the law of the State of </w:t>
      </w:r>
      <w:r>
        <w:rPr>
          <w:color w:val="FF0000"/>
          <w:sz w:val="22"/>
        </w:rPr>
        <w:t>[</w:t>
      </w:r>
      <w:r>
        <w:rPr>
          <w:sz w:val="22"/>
        </w:rPr>
        <w:t>Texas</w:t>
      </w:r>
      <w:r>
        <w:rPr>
          <w:color w:val="FF0000"/>
          <w:sz w:val="22"/>
        </w:rPr>
        <w:t>][</w:t>
      </w:r>
      <w:r>
        <w:rPr>
          <w:sz w:val="22"/>
        </w:rPr>
        <w:t>New York</w:t>
      </w:r>
      <w:r>
        <w:rPr>
          <w:color w:val="FF0000"/>
          <w:sz w:val="22"/>
        </w:rPr>
        <w:t>][</w:t>
      </w:r>
      <w:r>
        <w:rPr>
          <w:sz w:val="22"/>
        </w:rPr>
        <w:t>Province of ______________</w:t>
      </w:r>
      <w:r>
        <w:rPr>
          <w:color w:val="FF0000"/>
          <w:sz w:val="22"/>
        </w:rPr>
        <w:t>]</w:t>
      </w:r>
      <w:r>
        <w:rPr>
          <w:sz w:val="22"/>
        </w:rPr>
        <w:t>,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[GUARANTOR]</w:t>
      </w:r>
    </w:p>
    <w:p>
      <w:pPr>
        <w:pStyle w:val="Normal"/>
        <w:spacing w:lineRule="exact" w:line="240"/>
        <w:ind w:start="5040" w:end="0"/>
        <w:jc w:val="both"/>
        <w:rPr>
          <w:sz w:val="22"/>
        </w:rPr>
      </w:pPr>
      <w:r>
        <w:rPr>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 w:id="3">
    <w:p>
      <w:pPr>
        <w:pStyle w:val="FootnoteText"/>
        <w:rPr/>
      </w:pPr>
      <w:r>
        <w:rPr>
          <w:rStyle w:val="FootnoteCharacters"/>
        </w:rPr>
        <w:t>1</w:t>
      </w:r>
      <w:r>
        <w:rPr/>
        <w:t xml:space="preserve"> </w:t>
      </w:r>
      <w:r>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1999-08-12T19:30:00Z</dcterms:created>
  <dc:creator>tjones</dc:creator>
  <dc:description/>
  <dc:language>en-CA</dc:language>
  <cp:lastModifiedBy>ebraden</cp:lastModifiedBy>
  <cp:lastPrinted>1999-08-12T15:59:00Z</cp:lastPrinted>
  <dcterms:modified xsi:type="dcterms:W3CDTF">2000-01-06T14:23:00Z</dcterms:modified>
  <cp:revision>11</cp:revision>
  <dc:subject/>
  <dc:title>EXHIBIT A</dc:title>
</cp:coreProperties>
</file>