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
        <w:tabs>
          <w:tab w:val="clear" w:pos="720"/>
          <w:tab w:val="left" w:pos="-1440" w:leader="none"/>
        </w:tabs>
        <w:spacing w:before="0" w:after="0"/>
        <w:ind w:hanging="0" w:start="0" w:end="0"/>
        <w:jc w:val="both"/>
        <w:rPr/>
      </w:pPr>
      <w:r>
        <w:rPr/>
        <w:t xml:space="preserve">This summary is as follows: </w:t>
      </w:r>
    </w:p>
    <w:tbl>
      <w:tblPr>
        <w:tblW w:w="8748" w:type="dxa"/>
        <w:jc w:val="start"/>
        <w:tblInd w:w="0" w:type="dxa"/>
        <w:tblLayout w:type="fixed"/>
        <w:tblCellMar>
          <w:top w:w="0" w:type="dxa"/>
          <w:start w:w="108" w:type="dxa"/>
          <w:bottom w:w="0" w:type="dxa"/>
          <w:end w:w="108" w:type="dxa"/>
        </w:tblCellMar>
      </w:tblPr>
      <w:tblGrid>
        <w:gridCol w:w="1998"/>
        <w:gridCol w:w="6750"/>
      </w:tblGrid>
      <w:tr>
        <w:trPr/>
        <w:tc>
          <w:tcPr>
            <w:tcW w:w="1998" w:type="dxa"/>
            <w:tcBorders/>
          </w:tcPr>
          <w:p>
            <w:pPr>
              <w:pStyle w:val="List"/>
              <w:tabs>
                <w:tab w:val="clear" w:pos="720"/>
                <w:tab w:val="left" w:pos="-1440" w:leader="none"/>
              </w:tabs>
              <w:spacing w:before="0" w:after="0"/>
              <w:ind w:hanging="0" w:start="0" w:end="0"/>
              <w:jc w:val="both"/>
              <w:rPr>
                <w:b/>
                <w:sz w:val="24"/>
              </w:rPr>
            </w:pPr>
            <w:r>
              <w:rPr>
                <w:b/>
                <w:sz w:val="24"/>
              </w:rPr>
              <w:t>United States of America</w:t>
            </w:r>
          </w:p>
        </w:tc>
        <w:tc>
          <w:tcPr>
            <w:tcW w:w="6750" w:type="dxa"/>
            <w:tcBorders/>
          </w:tcPr>
          <w:p>
            <w:pPr>
              <w:pStyle w:val="Normal"/>
              <w:tabs>
                <w:tab w:val="clear" w:pos="720"/>
                <w:tab w:val="left" w:pos="-1440" w:leader="none"/>
              </w:tabs>
              <w:spacing w:before="0" w:after="0"/>
              <w:ind w:start="252" w:end="0"/>
              <w:jc w:val="both"/>
              <w:rPr>
                <w:sz w:val="24"/>
              </w:rPr>
            </w:pPr>
            <w:r>
              <w:rPr>
                <w:sz w:val="24"/>
              </w:rPr>
              <w:t>Most systems relay on the credit rating of the entity in question as confirmed by either of Standard &amp; Poor’s, Dominion, or Moody’s.  In the absence of such ratings, irrevocable letters of credit is often requested.  In the cases where FERC’s proforma language is utilized, the customer is expected to meet the credit review procedures in accordance to the Uniform Commercial Code in the US.</w:t>
            </w:r>
          </w:p>
          <w:p>
            <w:pPr>
              <w:pStyle w:val="Normal"/>
              <w:tabs>
                <w:tab w:val="clear" w:pos="720"/>
                <w:tab w:val="left" w:pos="-1440" w:leader="none"/>
              </w:tabs>
              <w:spacing w:before="0" w:after="0"/>
              <w:ind w:start="252" w:end="0"/>
              <w:jc w:val="both"/>
              <w:rPr>
                <w:sz w:val="24"/>
              </w:rPr>
            </w:pPr>
            <w:r>
              <w:rPr>
                <w:sz w:val="24"/>
              </w:rPr>
            </w:r>
          </w:p>
        </w:tc>
      </w:tr>
    </w:tbl>
    <w:p>
      <w:pPr>
        <w:pStyle w:val="Normal"/>
        <w:spacing w:before="0" w:after="0"/>
        <w:rPr>
          <w:sz w:val="24"/>
        </w:rPr>
      </w:pPr>
      <w:r>
        <w:rPr>
          <w:sz w:val="24"/>
        </w:rPr>
      </w:r>
    </w:p>
    <w:p>
      <w:pPr>
        <w:pStyle w:val="List"/>
        <w:tabs>
          <w:tab w:val="clear" w:pos="720"/>
          <w:tab w:val="left" w:pos="-1440" w:leader="none"/>
        </w:tabs>
        <w:spacing w:before="0" w:after="0"/>
        <w:ind w:hanging="0" w:start="0" w:end="0"/>
        <w:rPr>
          <w:b/>
          <w:sz w:val="24"/>
          <w:u w:val="single"/>
        </w:rPr>
      </w:pPr>
      <w:r>
        <w:rPr>
          <w:b/>
          <w:sz w:val="24"/>
          <w:u w:val="single"/>
        </w:rPr>
      </w:r>
    </w:p>
    <w:p>
      <w:pPr>
        <w:pStyle w:val="List"/>
        <w:tabs>
          <w:tab w:val="clear" w:pos="720"/>
          <w:tab w:val="left" w:pos="-1440" w:leader="none"/>
        </w:tabs>
        <w:spacing w:before="0" w:after="0"/>
        <w:ind w:hanging="0" w:start="0" w:end="0"/>
        <w:rPr>
          <w:b/>
          <w:sz w:val="24"/>
          <w:u w:val="single"/>
        </w:rPr>
      </w:pPr>
      <w:r>
        <w:rPr>
          <w:b/>
          <w:sz w:val="24"/>
          <w:u w:val="single"/>
        </w:rPr>
        <w:t>United States</w:t>
      </w:r>
      <w:bookmarkStart w:id="0" w:name="QuickMark"/>
      <w:bookmarkEnd w:id="0"/>
    </w:p>
    <w:p>
      <w:pPr>
        <w:pStyle w:val="Normal"/>
        <w:ind w:start="2700" w:end="0"/>
        <w:jc w:val="both"/>
        <w:rPr/>
      </w:pPr>
      <w:r>
        <w:rPr>
          <w:sz w:val="24"/>
          <w:u w:val="single"/>
        </w:rPr>
        <w:t>Summary</w:t>
      </w:r>
      <w:r>
        <w:rPr>
          <w:sz w:val="24"/>
        </w:rPr>
        <w:t>:  Most systems relay on the credit rating of the entity in question as confirmed by either of Standard &amp; Poor’s, Dominion, or Moody’s.  In the absence of such ratings, irrevocable letters of credit is often requested.  In the cases where FERC’s proforma language is utilized, the customer is expected to meet the credit review procedures in accordance to the Uniform Commercial Code in the US.</w:t>
      </w:r>
    </w:p>
    <w:p>
      <w:pPr>
        <w:pStyle w:val="Normal"/>
        <w:numPr>
          <w:ilvl w:val="0"/>
          <w:numId w:val="3"/>
        </w:numPr>
        <w:tabs>
          <w:tab w:val="clear" w:pos="720"/>
          <w:tab w:val="left" w:pos="-1440" w:leader="none"/>
          <w:tab w:val="left" w:pos="900" w:leader="none"/>
        </w:tabs>
        <w:spacing w:before="0" w:after="0"/>
        <w:ind w:hanging="360" w:start="900" w:end="0"/>
        <w:rPr>
          <w:sz w:val="24"/>
        </w:rPr>
      </w:pPr>
      <w:r>
        <w:rPr>
          <w:b/>
          <w:sz w:val="24"/>
        </w:rPr>
        <w:t>California</w:t>
      </w:r>
    </w:p>
    <w:p>
      <w:pPr>
        <w:pStyle w:val="BodyTextIndent"/>
        <w:tabs>
          <w:tab w:val="clear" w:pos="720"/>
          <w:tab w:val="left" w:pos="-1440" w:leader="none"/>
        </w:tabs>
        <w:ind w:start="720" w:end="0"/>
        <w:jc w:val="both"/>
        <w:rPr/>
      </w:pPr>
      <w:r>
        <w:rPr>
          <w:sz w:val="24"/>
        </w:rPr>
        <w:t xml:space="preserve">There are three entities that impose financial/credit requirements on market participants in the restructured California electricity market of which only one is relevant to marketers, namely,  </w:t>
        <w:br/>
        <w:t>Power Exchange  (“PX”)</w:t>
      </w:r>
      <w:r>
        <w:rPr>
          <w:rStyle w:val="FootnoteCharacters"/>
          <w:rStyle w:val="FootnoteReference"/>
          <w:sz w:val="24"/>
        </w:rPr>
        <w:footnoteReference w:id="2"/>
      </w:r>
      <w:r>
        <w:rPr>
          <w:sz w:val="24"/>
        </w:rPr>
        <w:t xml:space="preserve">. </w:t>
      </w:r>
      <w:r>
        <w:rPr>
          <w:i/>
          <w:sz w:val="24"/>
        </w:rPr>
        <w:t xml:space="preserve"> </w:t>
      </w:r>
      <w:r>
        <w:rPr>
          <w:sz w:val="24"/>
        </w:rPr>
        <w:t>The creditworthiness requirement for the PX participants without Approved Credit Rating</w:t>
      </w:r>
      <w:r>
        <w:rPr>
          <w:rStyle w:val="FootnoteCharacters"/>
          <w:rStyle w:val="FootnoteReference"/>
          <w:b/>
          <w:sz w:val="24"/>
          <w:vertAlign w:val="superscript"/>
        </w:rPr>
        <w:footnoteReference w:id="3"/>
      </w:r>
      <w:r>
        <w:rPr>
          <w:sz w:val="24"/>
        </w:rPr>
        <w:t xml:space="preserve"> include the provision of  guarantees in one or the other of the following forms:</w:t>
      </w:r>
    </w:p>
    <w:p>
      <w:pPr>
        <w:pStyle w:val="Normal"/>
        <w:numPr>
          <w:ilvl w:val="2"/>
          <w:numId w:val="3"/>
        </w:numPr>
        <w:tabs>
          <w:tab w:val="clear" w:pos="720"/>
          <w:tab w:val="left" w:pos="-1440" w:leader="none"/>
        </w:tabs>
        <w:spacing w:before="0" w:after="0"/>
        <w:ind w:hanging="360" w:start="1260" w:end="0"/>
        <w:rPr>
          <w:sz w:val="24"/>
        </w:rPr>
      </w:pPr>
      <w:r>
        <w:rPr>
          <w:sz w:val="24"/>
        </w:rPr>
        <w:t>an irrevocable and unconditional letter of credit confirmed by a bank or financial institution reasonably acceptable to PX;</w:t>
      </w:r>
    </w:p>
    <w:p>
      <w:pPr>
        <w:pStyle w:val="Normal"/>
        <w:numPr>
          <w:ilvl w:val="2"/>
          <w:numId w:val="3"/>
        </w:numPr>
        <w:tabs>
          <w:tab w:val="clear" w:pos="720"/>
          <w:tab w:val="left" w:pos="-1440" w:leader="none"/>
        </w:tabs>
        <w:spacing w:before="0" w:after="0"/>
        <w:ind w:hanging="360" w:start="1260" w:end="0"/>
        <w:rPr>
          <w:sz w:val="24"/>
        </w:rPr>
      </w:pPr>
      <w:r>
        <w:rPr>
          <w:sz w:val="24"/>
        </w:rPr>
        <w:t xml:space="preserve">an unconditional and irrevocable guarantee by a company which has and maintains an Approved Credit Rating; </w:t>
      </w:r>
    </w:p>
    <w:p>
      <w:pPr>
        <w:pStyle w:val="Normal"/>
        <w:numPr>
          <w:ilvl w:val="2"/>
          <w:numId w:val="3"/>
        </w:numPr>
        <w:tabs>
          <w:tab w:val="clear" w:pos="720"/>
          <w:tab w:val="left" w:pos="-1440" w:leader="none"/>
        </w:tabs>
        <w:spacing w:before="0" w:after="0"/>
        <w:ind w:hanging="360" w:start="1260" w:end="0"/>
        <w:rPr>
          <w:sz w:val="24"/>
        </w:rPr>
      </w:pPr>
      <w:r>
        <w:rPr>
          <w:sz w:val="24"/>
        </w:rPr>
        <w:t>a cash deposit standing to the credit of an interest bearing escrow account maintained at a bank or financial institution designated by the PX.</w:t>
      </w:r>
    </w:p>
    <w:p>
      <w:pPr>
        <w:pStyle w:val="Normal"/>
        <w:tabs>
          <w:tab w:val="clear" w:pos="720"/>
          <w:tab w:val="left" w:pos="-1440" w:leader="none"/>
        </w:tabs>
        <w:spacing w:before="0" w:after="0"/>
        <w:ind w:start="900" w:end="0"/>
        <w:rPr>
          <w:sz w:val="24"/>
        </w:rPr>
      </w:pPr>
      <w:r>
        <w:rPr>
          <w:sz w:val="24"/>
        </w:rPr>
      </w:r>
    </w:p>
    <w:p>
      <w:pPr>
        <w:pStyle w:val="Normal"/>
        <w:numPr>
          <w:ilvl w:val="0"/>
          <w:numId w:val="3"/>
        </w:numPr>
        <w:tabs>
          <w:tab w:val="clear" w:pos="720"/>
          <w:tab w:val="left" w:pos="-1440" w:leader="none"/>
          <w:tab w:val="left" w:pos="900" w:leader="none"/>
        </w:tabs>
        <w:spacing w:before="0" w:after="0"/>
        <w:ind w:hanging="360" w:start="900" w:end="0"/>
        <w:rPr>
          <w:rFonts w:ascii="Courier;Courier New" w:hAnsi="Courier;Courier New" w:cs="Courier;Courier New"/>
          <w:sz w:val="24"/>
        </w:rPr>
      </w:pPr>
      <w:r>
        <w:rPr>
          <w:b/>
          <w:sz w:val="24"/>
        </w:rPr>
        <w:t>PJM Interconnection, L.L.C., Midwest ISO and ISO New England</w:t>
      </w:r>
    </w:p>
    <w:p>
      <w:pPr>
        <w:pStyle w:val="BodyTextIndent2"/>
        <w:spacing w:before="0" w:after="0"/>
        <w:rPr>
          <w:sz w:val="24"/>
        </w:rPr>
      </w:pPr>
      <w:r>
        <w:rPr>
          <w:sz w:val="24"/>
        </w:rPr>
        <w:t>The PJM Interconnection, L.L.C., the Midwest ISO and the NEPOOL Open Access Transmission Tariffs all provide a section entitled “Creditworthiness”.  This section contains pro forma language stating that for purposes of determining the ability of a customer to meet its obligations, the transmission provider may institute credit review procedures.  These procedures will be made in accordance with standard commercial practices established by the Uniform Commercial Code.  Additionally, these tariffs state that a transmission provider may require that the customer provide and maintain an unconditional and irrevocable letter of credit as security or some other form of security that is consistent with commercial practices.  The Midwest ISO tariff further states that it will develop creditworthiness standards and publish them on the OASIS.</w:t>
      </w:r>
    </w:p>
    <w:p>
      <w:pPr>
        <w:pStyle w:val="BodyTextIndent2"/>
        <w:spacing w:before="0" w:after="0"/>
        <w:rPr>
          <w:sz w:val="24"/>
        </w:rPr>
      </w:pPr>
      <w:r>
        <w:rPr>
          <w:sz w:val="24"/>
        </w:rPr>
      </w:r>
    </w:p>
    <w:p>
      <w:pPr>
        <w:pStyle w:val="BodyTextIndent2"/>
        <w:spacing w:before="0" w:after="0"/>
        <w:rPr>
          <w:sz w:val="24"/>
        </w:rPr>
      </w:pPr>
      <w:r>
        <w:rPr>
          <w:sz w:val="24"/>
        </w:rPr>
        <w:t>The ISO New England Inc. transmission and dispatch tariff states that the ISO will apply a Financial Assurance Policy to determine creditworthiness.  This policy, however, has not yet been developed, but is expected to be supplied when the ISO amends its tariff in the fourth quarter of 1998.</w:t>
      </w:r>
    </w:p>
    <w:p>
      <w:pPr>
        <w:pStyle w:val="BodyTextIndent2"/>
        <w:spacing w:before="0" w:after="0"/>
        <w:rPr>
          <w:sz w:val="24"/>
        </w:rPr>
      </w:pPr>
      <w:r>
        <w:rPr>
          <w:sz w:val="24"/>
        </w:rPr>
      </w:r>
    </w:p>
    <w:p>
      <w:pPr>
        <w:pStyle w:val="Normal"/>
        <w:numPr>
          <w:ilvl w:val="0"/>
          <w:numId w:val="3"/>
        </w:numPr>
        <w:tabs>
          <w:tab w:val="clear" w:pos="720"/>
          <w:tab w:val="left" w:pos="-1440" w:leader="none"/>
          <w:tab w:val="left" w:pos="900" w:leader="none"/>
        </w:tabs>
        <w:spacing w:before="0" w:after="0"/>
        <w:ind w:hanging="360" w:start="990" w:end="0"/>
        <w:rPr>
          <w:b/>
          <w:sz w:val="24"/>
        </w:rPr>
      </w:pPr>
      <w:r>
        <w:rPr>
          <w:b/>
          <w:sz w:val="24"/>
        </w:rPr>
        <w:t>New York Independent System Operator</w:t>
      </w:r>
    </w:p>
    <w:p>
      <w:pPr>
        <w:pStyle w:val="BodyTextIndent2"/>
        <w:spacing w:before="0" w:after="0"/>
        <w:rPr>
          <w:sz w:val="24"/>
        </w:rPr>
      </w:pPr>
      <w:r>
        <w:rPr>
          <w:sz w:val="24"/>
        </w:rPr>
        <w:t>The New York ISO Tariff contains the open access tariff pro forma language with respect to creditworthiness.  Additionally, the New York ISO Tariff also sets the criteria a customer must meet before being considered “creditworthy.”   The criteria encompass:</w:t>
      </w:r>
    </w:p>
    <w:p>
      <w:pPr>
        <w:pStyle w:val="BodyTextIndent2"/>
        <w:numPr>
          <w:ilvl w:val="3"/>
          <w:numId w:val="2"/>
        </w:numPr>
        <w:spacing w:before="0" w:after="0"/>
        <w:rPr>
          <w:sz w:val="24"/>
        </w:rPr>
      </w:pPr>
      <w:r>
        <w:rPr>
          <w:sz w:val="24"/>
        </w:rPr>
        <w:t xml:space="preserve">The customer’s long-term unsecured debt securities must be and remain rated a minimum of BBB or Baa2 by Standard &amp; Poor’s or Moody’s; </w:t>
      </w:r>
    </w:p>
    <w:p>
      <w:pPr>
        <w:pStyle w:val="BodyTextIndent2"/>
        <w:numPr>
          <w:ilvl w:val="3"/>
          <w:numId w:val="2"/>
        </w:numPr>
        <w:spacing w:before="0" w:after="0"/>
        <w:rPr>
          <w:sz w:val="24"/>
        </w:rPr>
      </w:pPr>
      <w:r>
        <w:rPr>
          <w:sz w:val="24"/>
        </w:rPr>
        <w:t xml:space="preserve">The customer either prepays for service or provides an irrevocable standby letter of credit issued by a domestic or Canadian bank with a minimum A (Standard &amp; Poor’s or Dominion), or A2 (Moody’s) long-term unsecured debt rating, for an amount equal to the estimated sum of the charges for the three individual months when such charges would be greatest over rolling twelve month periods; </w:t>
      </w:r>
    </w:p>
    <w:p>
      <w:pPr>
        <w:pStyle w:val="BodyTextIndent2"/>
        <w:numPr>
          <w:ilvl w:val="3"/>
          <w:numId w:val="2"/>
        </w:numPr>
        <w:spacing w:before="0" w:after="0"/>
        <w:rPr>
          <w:sz w:val="24"/>
        </w:rPr>
      </w:pPr>
      <w:r>
        <w:rPr>
          <w:sz w:val="24"/>
        </w:rPr>
        <w:t xml:space="preserve">The customer has, as determined by the ISO, a qualified long-term payment history with the ISO or an individual transmission provider; </w:t>
      </w:r>
    </w:p>
    <w:p>
      <w:pPr>
        <w:pStyle w:val="BodyTextIndent2"/>
        <w:numPr>
          <w:ilvl w:val="3"/>
          <w:numId w:val="2"/>
        </w:numPr>
        <w:spacing w:before="0" w:after="0"/>
        <w:rPr>
          <w:sz w:val="24"/>
        </w:rPr>
      </w:pPr>
      <w:r>
        <w:rPr>
          <w:sz w:val="24"/>
        </w:rPr>
        <w:t>The customer’s parent company is able to guarantee responsibility for all financial obligations associated with services and responsibilities hereunder and the parent company conforms to the minimum ratings specified above.</w:t>
      </w:r>
    </w:p>
    <w:p>
      <w:pPr>
        <w:pStyle w:val="Normal"/>
        <w:rPr>
          <w:sz w:val="24"/>
        </w:rPr>
      </w:pPr>
      <w:r>
        <w:rPr>
          <w:sz w:val="24"/>
        </w:rPr>
      </w:r>
    </w:p>
    <w:p>
      <w:pPr>
        <w:pStyle w:val="CopyList"/>
        <w:rPr>
          <w:b/>
          <w:sz w:val="24"/>
        </w:rPr>
      </w:pPr>
      <w:r>
        <w:rPr>
          <w:b/>
          <w:sz w:val="24"/>
        </w:rPr>
      </w:r>
    </w:p>
    <w:p>
      <w:pPr>
        <w:pStyle w:val="CopyList"/>
        <w:rPr>
          <w:b/>
          <w:sz w:val="24"/>
        </w:rPr>
      </w:pPr>
      <w:r>
        <w:rPr>
          <w:b/>
          <w:sz w:val="24"/>
        </w:rPr>
      </w:r>
    </w:p>
    <w:p>
      <w:pPr>
        <w:pStyle w:val="Normal"/>
        <w:spacing w:before="60" w:after="60"/>
        <w:rPr>
          <w:rFonts w:ascii="Arial" w:hAnsi="Arial" w:cs="Arial"/>
          <w:b/>
          <w:sz w:val="24"/>
        </w:rPr>
      </w:pPr>
      <w:r>
        <w:rPr>
          <w:rFonts w:cs="Arial" w:ascii="Arial" w:hAnsi="Arial"/>
          <w:b/>
          <w:sz w:val="24"/>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847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Indent"/>
        <w:tabs>
          <w:tab w:val="clear" w:pos="720"/>
          <w:tab w:val="left" w:pos="-1440" w:leader="none"/>
        </w:tabs>
        <w:spacing w:before="60" w:after="60"/>
        <w:ind w:hanging="180" w:start="180" w:end="0"/>
        <w:rPr/>
      </w:pPr>
      <w:r>
        <w:rPr>
          <w:rStyle w:val="FootnoteCharacters"/>
        </w:rPr>
        <w:footnoteRef/>
      </w:r>
      <w:r>
        <w:rPr>
          <w:sz w:val="20"/>
        </w:rPr>
        <w:t xml:space="preserve"> </w:t>
      </w:r>
      <w:r>
        <w:rPr>
          <w:sz w:val="20"/>
        </w:rPr>
        <w:t xml:space="preserve">The two other entities are The California Public Utilities Commission  and the  Independent System Operator.  </w:t>
      </w:r>
    </w:p>
  </w:footnote>
  <w:footnote w:id="3">
    <w:p>
      <w:pPr>
        <w:pStyle w:val="Normal"/>
        <w:spacing w:before="0" w:after="0"/>
        <w:rPr/>
      </w:pPr>
      <w:r>
        <w:rPr>
          <w:rStyle w:val="FootnoteCharacters"/>
        </w:rPr>
        <w:footnoteRef/>
      </w:r>
      <w:r>
        <w:rPr>
          <w:rFonts w:cs="Courier;Courier New" w:ascii="Courier;Courier New" w:hAnsi="Courier;Courier New"/>
          <w:sz w:val="22"/>
        </w:rPr>
        <w:t xml:space="preserve"> </w:t>
      </w:r>
      <w:r>
        <w:rPr/>
        <w:t>The Independent System Operator Tariff defines Approved Credit Rating as:</w:t>
      </w:r>
    </w:p>
    <w:p>
      <w:pPr>
        <w:pStyle w:val="BodyTextIndent3"/>
        <w:rPr/>
      </w:pPr>
      <w:r>
        <w:rPr/>
        <w:t>“</w:t>
      </w:r>
      <w:r>
        <w:rPr/>
        <w:t>A short-term debt rating of not less than A1 by Standard and Poor’s Corporation or a rating of not less than P1 by Moody’s Investors Service or an equivalent rating from any other reputable credit rating agency, or other credit rating as approved by either the PX or ISO Governing Board as applicable.  A federal agency shall be deemed to have an Approved Credit Rating if its financial obligations under the ISO Tariff and the PX Tariff are backed by the full faith and credit of the United States.”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jc w:val="center"/>
      <w:rPr>
        <w:b/>
        <w:sz w:val="32"/>
      </w:rPr>
    </w:pPr>
    <w:r>
      <w:rPr>
        <w:b/>
        <w:sz w:val="32"/>
      </w:rPr>
      <w:t>DRAFT</w:t>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tabs>
        <w:tab w:val="clear" w:pos="720"/>
        <w:tab w:val="left" w:pos="-1440" w:leader="none"/>
      </w:tabs>
      <w:outlineLvl w:val="3"/>
    </w:pPr>
    <w:rPr>
      <w:b/>
      <w:u w:val="single"/>
    </w:rPr>
  </w:style>
  <w:style w:type="paragraph" w:styleId="Heading5">
    <w:name w:val="heading 5"/>
    <w:basedOn w:val="Normal"/>
    <w:next w:val="Normal"/>
    <w:qFormat/>
    <w:pPr>
      <w:keepNext w:val="true"/>
      <w:numPr>
        <w:ilvl w:val="4"/>
        <w:numId w:val="1"/>
      </w:numPr>
      <w:tabs>
        <w:tab w:val="clear" w:pos="720"/>
        <w:tab w:val="left" w:pos="-1440" w:leader="none"/>
      </w:tabs>
      <w:spacing w:before="0" w:after="0"/>
      <w:ind w:hanging="0" w:start="1170" w:end="0"/>
      <w:outlineLvl w:val="4"/>
    </w:pPr>
    <w:rPr>
      <w:b/>
      <w:u w:val="single"/>
    </w:rPr>
  </w:style>
  <w:style w:type="paragraph" w:styleId="Heading6">
    <w:name w:val="heading 6"/>
    <w:basedOn w:val="Normal"/>
    <w:next w:val="Normal"/>
    <w:qFormat/>
    <w:pPr>
      <w:keepNext w:val="true"/>
      <w:numPr>
        <w:ilvl w:val="5"/>
        <w:numId w:val="1"/>
      </w:numPr>
      <w:tabs>
        <w:tab w:val="clear" w:pos="720"/>
        <w:tab w:val="left" w:pos="-1440" w:leader="none"/>
      </w:tabs>
      <w:outlineLvl w:val="5"/>
    </w:pPr>
    <w:rPr>
      <w:b/>
      <w:sz w:val="22"/>
      <w:u w:val="single"/>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spacing w:before="0" w:after="0"/>
      <w:jc w:val="center"/>
      <w:outlineLvl w:val="7"/>
    </w:pPr>
    <w:rPr>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0z0">
    <w:name w:val="WW8Num10z0"/>
    <w:qFormat/>
    <w:rPr/>
  </w:style>
  <w:style w:type="character" w:styleId="WW8Num13z0">
    <w:name w:val="WW8Num13z0"/>
    <w:qFormat/>
    <w:rPr/>
  </w:style>
  <w:style w:type="character" w:styleId="WW8Num15z0">
    <w:name w:val="WW8Num15z0"/>
    <w:qFormat/>
    <w:rPr/>
  </w:style>
  <w:style w:type="character" w:styleId="WW8NumSt15z0">
    <w:name w:val="WW8NumSt15z0"/>
    <w:qFormat/>
    <w:rPr>
      <w:rFonts w:ascii="Symbol" w:hAnsi="Symbol" w:cs="Symbol"/>
    </w:rPr>
  </w:style>
  <w:style w:type="character" w:styleId="WW8NumSt16z0">
    <w:name w:val="WW8NumSt1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tabs>
        <w:tab w:val="clear" w:pos="720"/>
        <w:tab w:val="left" w:pos="-1440" w:leader="none"/>
      </w:tabs>
      <w:jc w:val="both"/>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Indent">
    <w:name w:val="Body Text Indent"/>
    <w:basedOn w:val="Normal"/>
    <w:pPr>
      <w:spacing w:before="0" w:after="0"/>
    </w:pPr>
    <w:rPr>
      <w:sz w:val="22"/>
    </w:rPr>
  </w:style>
  <w:style w:type="paragraph" w:styleId="BodyTextIndent2">
    <w:name w:val="Body Text Indent 2"/>
    <w:basedOn w:val="Normal"/>
    <w:qFormat/>
    <w:pPr>
      <w:tabs>
        <w:tab w:val="clear" w:pos="720"/>
        <w:tab w:val="left" w:pos="-1440" w:leader="none"/>
      </w:tabs>
      <w:ind w:hanging="0" w:start="1170" w:end="0"/>
      <w:jc w:val="both"/>
    </w:pPr>
    <w:rPr/>
  </w:style>
  <w:style w:type="paragraph" w:styleId="BodyTextIndent3">
    <w:name w:val="Body Text Indent 3"/>
    <w:basedOn w:val="Normal"/>
    <w:qFormat/>
    <w:pPr>
      <w:tabs>
        <w:tab w:val="clear" w:pos="720"/>
        <w:tab w:val="left" w:pos="630" w:leader="none"/>
      </w:tabs>
      <w:spacing w:before="0" w:after="0"/>
      <w:ind w:hanging="0" w:start="630" w:end="0"/>
      <w:jc w:val="both"/>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0" w:after="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International 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2001-07-13T08:40:00Z</dcterms:created>
  <dc:creator>ibrahim</dc:creator>
  <dc:description/>
  <dc:language>en-CA</dc:language>
  <cp:lastModifiedBy>enron</cp:lastModifiedBy>
  <cp:lastPrinted>1998-09-21T17:30:00Z</cp:lastPrinted>
  <dcterms:modified xsi:type="dcterms:W3CDTF">2001-07-13T08:41:00Z</dcterms:modified>
  <cp:revision>3</cp:revision>
  <dc:subject/>
  <dc:title>Enron International Memo</dc:title>
</cp:coreProperties>
</file>