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"/>
        <w:tabs>
          <w:tab w:val="clear" w:pos="720"/>
          <w:tab w:val="left" w:pos="-1440" w:leader="none"/>
        </w:tabs>
        <w:spacing w:before="0" w:after="0"/>
        <w:ind w:hanging="0" w:start="0" w:end="0"/>
        <w:jc w:val="both"/>
        <w:rPr/>
      </w:pPr>
      <w:r>
        <w:rPr/>
        <w:t xml:space="preserve">This summary is as follows: </w:t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6750"/>
      </w:tblGrid>
      <w:tr>
        <w:trPr/>
        <w:tc>
          <w:tcPr>
            <w:tcW w:w="1998" w:type="dxa"/>
            <w:tcBorders/>
          </w:tcPr>
          <w:p>
            <w:pPr>
              <w:pStyle w:val="List"/>
              <w:tabs>
                <w:tab w:val="clear" w:pos="720"/>
                <w:tab w:val="left" w:pos="-1440" w:leader="none"/>
              </w:tabs>
              <w:spacing w:before="0" w:after="0"/>
              <w:ind w:hanging="0" w:start="0" w:end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Spain</w:t>
            </w:r>
          </w:p>
        </w:tc>
        <w:tc>
          <w:tcPr>
            <w:tcW w:w="6750" w:type="dxa"/>
            <w:tcBorders/>
          </w:tcPr>
          <w:p>
            <w:pPr>
              <w:pStyle w:val="Normal"/>
              <w:tabs>
                <w:tab w:val="clear" w:pos="720"/>
                <w:tab w:val="left" w:pos="-1440" w:leader="none"/>
              </w:tabs>
              <w:spacing w:before="0" w:after="0"/>
              <w:ind w:start="252" w:end="0"/>
              <w:jc w:val="both"/>
              <w:rPr>
                <w:sz w:val="24"/>
              </w:rPr>
            </w:pPr>
            <w:r>
              <w:rPr>
                <w:sz w:val="24"/>
              </w:rPr>
              <w:t>Customers are required to provide a payment guarantee determined as function of consumption over a period</w:t>
            </w:r>
            <w:r>
              <w:rPr>
                <w:i/>
                <w:sz w:val="24"/>
              </w:rPr>
              <w:t xml:space="preserve"> of a50 days, losses and value-added tax. </w:t>
            </w:r>
          </w:p>
        </w:tc>
      </w:tr>
    </w:tbl>
    <w:p>
      <w:pPr>
        <w:pStyle w:val="BodyTextIndent2"/>
        <w:spacing w:before="0" w:after="0"/>
        <w:rPr>
          <w:sz w:val="24"/>
        </w:rPr>
      </w:pPr>
      <w:r>
        <w:rPr>
          <w:sz w:val="24"/>
        </w:rPr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Spain</w:t>
      </w:r>
    </w:p>
    <w:p>
      <w:pPr>
        <w:pStyle w:val="BodyText"/>
        <w:rPr/>
      </w:pPr>
      <w:r>
        <w:rPr>
          <w:sz w:val="24"/>
        </w:rPr>
        <w:t>The Spanish market is dominated by four vertically integrated utilities. The market is operated by a market Operator that is created by law, but is a public company.  The Grid System is operated, and largely owned, by the System Operator.  Customers wanting to purchase available power under the Spanish Pool System must provide a payment guarantee</w:t>
      </w:r>
      <w:r>
        <w:rPr>
          <w:rStyle w:val="FootnoteCharacters"/>
          <w:rStyle w:val="FootnoteReference"/>
          <w:sz w:val="24"/>
        </w:rPr>
        <w:footnoteReference w:id="2"/>
      </w:r>
      <w:r>
        <w:rPr>
          <w:sz w:val="24"/>
        </w:rPr>
        <w:t xml:space="preserve"> A formula has been developed to calculate the amount of the guarantee.  At present the general guarantee is: </w:t>
      </w:r>
    </w:p>
    <w:p>
      <w:pPr>
        <w:pStyle w:val="Normal"/>
        <w:tabs>
          <w:tab w:val="clear" w:pos="720"/>
          <w:tab w:val="left" w:pos="-1440" w:leader="none"/>
        </w:tabs>
        <w:jc w:val="center"/>
        <w:rPr>
          <w:sz w:val="24"/>
        </w:rPr>
      </w:pPr>
      <w:r>
        <w:rPr>
          <w:sz w:val="24"/>
        </w:rPr>
        <w:t>Volume x 24 hours x 50 days x p/kWh x (1 + VAT) x (1+ Losses)</w:t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  <w:t xml:space="preserve">The value-added tax (VAT) is 16% and the losses are 8%.  At 6 pts/kWh, a marketer contemplating a 50 MW transaction would pay around $3 million (with the current exchange rate). </w:t>
      </w:r>
    </w:p>
    <w:p>
      <w:pPr>
        <w:pStyle w:val="Normal"/>
        <w:tabs>
          <w:tab w:val="clear" w:pos="720"/>
          <w:tab w:val="left" w:pos="-1440" w:leader="none"/>
        </w:tabs>
        <w:rPr>
          <w:sz w:val="24"/>
        </w:rPr>
      </w:pPr>
      <w:r>
        <w:rPr>
          <w:sz w:val="24"/>
        </w:rPr>
        <w:t xml:space="preserve">The Market Rules provide the types of security that purchasers in the production market are obligated to give: 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-1440" w:leader="none"/>
        </w:tabs>
        <w:jc w:val="both"/>
        <w:rPr>
          <w:sz w:val="24"/>
        </w:rPr>
      </w:pPr>
      <w:r>
        <w:rPr>
          <w:sz w:val="24"/>
        </w:rPr>
        <w:t xml:space="preserve">A security of operation, corresponding to each purchasing agent, will be determined initially by the Market Operator. </w:t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-1440" w:leader="none"/>
        </w:tabs>
        <w:spacing w:before="60" w:after="60"/>
        <w:jc w:val="both"/>
        <w:rPr>
          <w:sz w:val="24"/>
        </w:rPr>
      </w:pPr>
      <w:r>
        <w:rPr>
          <w:sz w:val="24"/>
        </w:rPr>
        <w:t>A complimentary security, depending upon the purchaser, if the Market Operator considers it necessary and proper due to the existence of a risk that exceeds the coverage provided by the security of operation, or due to other special circumstances that justify the requirement of a complimentary security. The Market Operator will solicit a risk rating from a rating company in order to determine if it is justifiable to impose a complimentary security upon the purchasing agent.</w:t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2240" w:h="15840"/>
      <w:pgMar w:left="1800" w:right="1800" w:gutter="0" w:header="720" w:top="1080" w:footer="720" w:bottom="108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4295" cy="2095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209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60" w:after="6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85pt;height:1.6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60" w:after="6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60" w:after="60"/>
        <w:ind w:hanging="360" w:start="360" w:end="0"/>
        <w:rPr/>
      </w:pPr>
      <w:r>
        <w:rPr>
          <w:rStyle w:val="FootnoteCharacters"/>
        </w:rPr>
        <w:footnoteRef/>
      </w:r>
      <w:r>
        <w:rPr/>
        <w:t xml:space="preserve">  </w:t>
      </w:r>
      <w:r>
        <w:rPr/>
        <w:t xml:space="preserve">Defined as those with annual consumption level of 15 GWh.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720"/>
      <w:jc w:val="center"/>
      <w:rPr>
        <w:b/>
        <w:sz w:val="32"/>
      </w:rPr>
    </w:pPr>
    <w:r>
      <w:rPr>
        <w:b/>
        <w:sz w:val="32"/>
      </w:rPr>
      <w:t>DRAFT</w:t>
    </w:r>
  </w:p>
  <w:p>
    <w:pPr>
      <w:pStyle w:val="Header"/>
      <w:rPr>
        <w:b/>
        <w:sz w:val="32"/>
      </w:rPr>
    </w:pPr>
    <w:r>
      <w:rPr>
        <w:b/>
        <w:sz w:val="3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7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120" w:after="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-1440" w:leader="none"/>
      </w:tabs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left" w:pos="-1440" w:leader="none"/>
      </w:tabs>
      <w:spacing w:before="0" w:after="0"/>
      <w:ind w:hanging="0" w:start="1170" w:end="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20"/>
        <w:tab w:val="left" w:pos="-1440" w:leader="none"/>
      </w:tabs>
      <w:outlineLvl w:val="5"/>
    </w:pPr>
    <w:rPr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spacing w:before="0" w:after="0"/>
      <w:jc w:val="center"/>
      <w:outlineLvl w:val="7"/>
    </w:pPr>
    <w:rPr>
      <w:b/>
      <w:sz w:val="24"/>
      <w:u w:val="singl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/>
  </w:style>
  <w:style w:type="character" w:styleId="WW8Num10z0">
    <w:name w:val="WW8Num10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/>
  </w:style>
  <w:style w:type="character" w:styleId="WW8NumSt15z0">
    <w:name w:val="WW8NumSt15z0"/>
    <w:qFormat/>
    <w:rPr>
      <w:rFonts w:ascii="Symbol" w:hAnsi="Symbol" w:cs="Symbol"/>
    </w:rPr>
  </w:style>
  <w:style w:type="character" w:styleId="WW8NumSt16z0">
    <w:name w:val="WW8NumSt1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Heading1"/>
    <w:next w:val="BodyText"/>
    <w:qFormat/>
    <w:pPr>
      <w:numPr>
        <w:ilvl w:val="0"/>
        <w:numId w:val="0"/>
      </w:numPr>
      <w:spacing w:before="0" w:after="0"/>
      <w:outlineLvl w:val="9"/>
    </w:pPr>
    <w:rPr/>
  </w:style>
  <w:style w:type="paragraph" w:styleId="BodyText">
    <w:name w:val="Body Text"/>
    <w:basedOn w:val="Normal"/>
    <w:pPr>
      <w:tabs>
        <w:tab w:val="clear" w:pos="720"/>
        <w:tab w:val="left" w:pos="-1440" w:leader="none"/>
      </w:tabs>
      <w:jc w:val="both"/>
    </w:pPr>
    <w:rPr/>
  </w:style>
  <w:style w:type="paragraph" w:styleId="List">
    <w:name w:val="List"/>
    <w:basedOn w:val="Normal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  <w:tab w:val="right" w:pos="9000" w:leader="none"/>
      </w:tabs>
      <w:spacing w:before="0" w:after="0"/>
    </w:pPr>
    <w:rPr/>
  </w:style>
  <w:style w:type="paragraph" w:styleId="FootnoteText">
    <w:name w:val="footnote text"/>
    <w:basedOn w:val="Normal"/>
    <w:pPr>
      <w:ind w:hanging="36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ject">
    <w:name w:val="Subject"/>
    <w:basedOn w:val="Normal"/>
    <w:qFormat/>
    <w:pPr/>
    <w:rPr/>
  </w:style>
  <w:style w:type="paragraph" w:styleId="Date">
    <w:name w:val="Date"/>
    <w:basedOn w:val="Normal"/>
    <w:qFormat/>
    <w:pPr/>
    <w:rPr/>
  </w:style>
  <w:style w:type="paragraph" w:styleId="To">
    <w:name w:val="To"/>
    <w:basedOn w:val="Normal"/>
    <w:qFormat/>
    <w:pPr/>
    <w:rPr/>
  </w:style>
  <w:style w:type="paragraph" w:styleId="From">
    <w:name w:val="From"/>
    <w:basedOn w:val="Normal"/>
    <w:qFormat/>
    <w:pPr/>
    <w:rPr/>
  </w:style>
  <w:style w:type="paragraph" w:styleId="Closed">
    <w:name w:val="Closed"/>
    <w:basedOn w:val="Normal"/>
    <w:qFormat/>
    <w:pPr>
      <w:spacing w:before="0" w:after="0"/>
    </w:pPr>
    <w:rPr/>
  </w:style>
  <w:style w:type="paragraph" w:styleId="CopyList">
    <w:name w:val="CopyList"/>
    <w:basedOn w:val="Normal"/>
    <w:qFormat/>
    <w:pPr>
      <w:tabs>
        <w:tab w:val="clear" w:pos="720"/>
        <w:tab w:val="left" w:pos="504" w:leader="none"/>
      </w:tabs>
      <w:spacing w:before="360" w:after="0"/>
      <w:ind w:hanging="504" w:start="504" w:end="0"/>
    </w:pPr>
    <w:rPr/>
  </w:style>
  <w:style w:type="paragraph" w:styleId="BodyTextIndent">
    <w:name w:val="Body Text Indent"/>
    <w:basedOn w:val="Normal"/>
    <w:pPr>
      <w:spacing w:before="0" w:after="0"/>
    </w:pPr>
    <w:rPr>
      <w:sz w:val="22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-1440" w:leader="none"/>
      </w:tabs>
      <w:ind w:hanging="0" w:start="1170" w:end="0"/>
      <w:jc w:val="both"/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630" w:leader="none"/>
      </w:tabs>
      <w:spacing w:before="0" w:after="0"/>
      <w:ind w:hanging="0" w:start="630" w:end="0"/>
      <w:jc w:val="both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0" w:after="0"/>
      <w:jc w:val="both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 International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2001-07-13T08:42:00Z</dcterms:created>
  <dc:creator>ibrahim</dc:creator>
  <dc:description/>
  <dc:language>en-CA</dc:language>
  <cp:lastModifiedBy>enron</cp:lastModifiedBy>
  <cp:lastPrinted>1998-09-21T17:30:00Z</cp:lastPrinted>
  <dcterms:modified xsi:type="dcterms:W3CDTF">2001-07-13T08:43:00Z</dcterms:modified>
  <cp:revision>3</cp:revision>
  <dc:subject/>
  <dc:title>Enron International Memo</dc:title>
</cp:coreProperties>
</file>