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
        <w:tabs>
          <w:tab w:val="clear" w:pos="720"/>
          <w:tab w:val="left" w:pos="-1440" w:leader="none"/>
        </w:tabs>
        <w:spacing w:before="0" w:after="0"/>
        <w:ind w:hanging="0" w:start="0" w:end="0"/>
        <w:jc w:val="both"/>
        <w:rPr>
          <w:sz w:val="24"/>
        </w:rPr>
      </w:pPr>
      <w:r>
        <w:rPr>
          <w:sz w:val="24"/>
        </w:rPr>
        <w:t xml:space="preserve">This summary is as follows: </w:t>
      </w:r>
    </w:p>
    <w:p>
      <w:pPr>
        <w:pStyle w:val="List"/>
        <w:tabs>
          <w:tab w:val="clear" w:pos="720"/>
          <w:tab w:val="left" w:pos="-1440" w:leader="none"/>
        </w:tabs>
        <w:spacing w:before="0" w:after="0"/>
        <w:ind w:hanging="0" w:start="0" w:end="0"/>
        <w:jc w:val="both"/>
        <w:rPr>
          <w:sz w:val="24"/>
        </w:rPr>
      </w:pPr>
      <w:r>
        <w:rPr>
          <w:sz w:val="24"/>
        </w:rPr>
      </w:r>
    </w:p>
    <w:tbl>
      <w:tblPr>
        <w:tblW w:w="8748" w:type="dxa"/>
        <w:jc w:val="start"/>
        <w:tblInd w:w="0" w:type="dxa"/>
        <w:tblLayout w:type="fixed"/>
        <w:tblCellMar>
          <w:top w:w="0" w:type="dxa"/>
          <w:start w:w="108" w:type="dxa"/>
          <w:bottom w:w="0" w:type="dxa"/>
          <w:end w:w="108" w:type="dxa"/>
        </w:tblCellMar>
      </w:tblPr>
      <w:tblGrid>
        <w:gridCol w:w="1998"/>
        <w:gridCol w:w="6750"/>
      </w:tblGrid>
      <w:tr>
        <w:trPr/>
        <w:tc>
          <w:tcPr>
            <w:tcW w:w="1998" w:type="dxa"/>
            <w:tcBorders/>
          </w:tcPr>
          <w:p>
            <w:pPr>
              <w:pStyle w:val="List"/>
              <w:tabs>
                <w:tab w:val="clear" w:pos="720"/>
                <w:tab w:val="left" w:pos="-1440" w:leader="none"/>
              </w:tabs>
              <w:snapToGrid w:val="false"/>
              <w:spacing w:before="0" w:after="0"/>
              <w:ind w:hanging="0" w:start="0" w:end="0"/>
              <w:jc w:val="both"/>
              <w:rPr>
                <w:b/>
                <w:sz w:val="24"/>
              </w:rPr>
            </w:pPr>
            <w:r>
              <w:rPr>
                <w:b/>
                <w:sz w:val="24"/>
              </w:rPr>
            </w:r>
          </w:p>
        </w:tc>
        <w:tc>
          <w:tcPr>
            <w:tcW w:w="6750" w:type="dxa"/>
            <w:tcBorders/>
          </w:tcPr>
          <w:p>
            <w:pPr>
              <w:pStyle w:val="Normal"/>
              <w:tabs>
                <w:tab w:val="clear" w:pos="720"/>
                <w:tab w:val="left" w:pos="-1440" w:leader="none"/>
              </w:tabs>
              <w:snapToGrid w:val="false"/>
              <w:spacing w:before="0" w:after="0"/>
              <w:ind w:start="252" w:end="0"/>
              <w:jc w:val="both"/>
              <w:rPr>
                <w:b/>
                <w:sz w:val="24"/>
              </w:rPr>
            </w:pPr>
            <w:r>
              <w:rPr>
                <w:b/>
                <w:sz w:val="24"/>
              </w:rPr>
            </w:r>
          </w:p>
        </w:tc>
      </w:tr>
      <w:tr>
        <w:trPr/>
        <w:tc>
          <w:tcPr>
            <w:tcW w:w="1998" w:type="dxa"/>
            <w:tcBorders/>
          </w:tcPr>
          <w:p>
            <w:pPr>
              <w:pStyle w:val="List"/>
              <w:tabs>
                <w:tab w:val="clear" w:pos="720"/>
                <w:tab w:val="left" w:pos="-1440" w:leader="none"/>
              </w:tabs>
              <w:snapToGrid w:val="false"/>
              <w:spacing w:before="0" w:after="0"/>
              <w:ind w:hanging="0" w:start="0" w:end="0"/>
              <w:jc w:val="both"/>
              <w:rPr>
                <w:b/>
                <w:sz w:val="24"/>
              </w:rPr>
            </w:pPr>
            <w:r>
              <w:rPr>
                <w:b/>
                <w:sz w:val="24"/>
              </w:rPr>
            </w:r>
          </w:p>
        </w:tc>
        <w:tc>
          <w:tcPr>
            <w:tcW w:w="6750" w:type="dxa"/>
            <w:tcBorders/>
          </w:tcPr>
          <w:p>
            <w:pPr>
              <w:pStyle w:val="List"/>
              <w:tabs>
                <w:tab w:val="clear" w:pos="720"/>
                <w:tab w:val="left" w:pos="-1440" w:leader="none"/>
              </w:tabs>
              <w:snapToGrid w:val="false"/>
              <w:spacing w:before="0" w:after="0"/>
              <w:ind w:hanging="0" w:start="252" w:end="0"/>
              <w:jc w:val="both"/>
              <w:rPr>
                <w:b/>
                <w:sz w:val="24"/>
              </w:rPr>
            </w:pPr>
            <w:r>
              <w:rPr>
                <w:b/>
                <w:sz w:val="24"/>
              </w:rPr>
            </w:r>
          </w:p>
        </w:tc>
      </w:tr>
      <w:tr>
        <w:trPr/>
        <w:tc>
          <w:tcPr>
            <w:tcW w:w="1998" w:type="dxa"/>
            <w:tcBorders/>
          </w:tcPr>
          <w:p>
            <w:pPr>
              <w:pStyle w:val="List"/>
              <w:tabs>
                <w:tab w:val="clear" w:pos="720"/>
                <w:tab w:val="left" w:pos="-1440" w:leader="none"/>
              </w:tabs>
              <w:spacing w:before="0" w:after="0"/>
              <w:ind w:hanging="0" w:start="0" w:end="0"/>
              <w:jc w:val="both"/>
              <w:rPr>
                <w:b/>
                <w:sz w:val="24"/>
              </w:rPr>
            </w:pPr>
            <w:r>
              <w:rPr>
                <w:b/>
                <w:sz w:val="24"/>
              </w:rPr>
              <w:t>Canada</w:t>
            </w:r>
          </w:p>
        </w:tc>
        <w:tc>
          <w:tcPr>
            <w:tcW w:w="6750" w:type="dxa"/>
            <w:tcBorders/>
          </w:tcPr>
          <w:p>
            <w:pPr>
              <w:pStyle w:val="Normal"/>
              <w:tabs>
                <w:tab w:val="clear" w:pos="720"/>
                <w:tab w:val="left" w:pos="-1440" w:leader="none"/>
              </w:tabs>
              <w:spacing w:before="0" w:after="0"/>
              <w:ind w:start="252" w:end="0"/>
              <w:jc w:val="both"/>
              <w:rPr>
                <w:sz w:val="24"/>
              </w:rPr>
            </w:pPr>
            <w:r>
              <w:rPr>
                <w:sz w:val="24"/>
              </w:rPr>
              <w:t xml:space="preserve">Alberta Pool relies on an acceptable credit rating or a financial instrument. British Columbia and Quebec systems rely on credit review procedures in accordance with standard commercial practices established by the Canadian equivalent of the Uniform Commercial Code. They may, however, seek financial instrument as the need arises.  </w:t>
            </w:r>
          </w:p>
          <w:p>
            <w:pPr>
              <w:pStyle w:val="Normal"/>
              <w:tabs>
                <w:tab w:val="clear" w:pos="720"/>
                <w:tab w:val="left" w:pos="-1440" w:leader="none"/>
              </w:tabs>
              <w:spacing w:before="0" w:after="0"/>
              <w:ind w:start="252" w:end="0"/>
              <w:jc w:val="both"/>
              <w:rPr>
                <w:sz w:val="24"/>
              </w:rPr>
            </w:pPr>
            <w:r>
              <w:rPr>
                <w:sz w:val="24"/>
              </w:rPr>
            </w:r>
          </w:p>
        </w:tc>
      </w:tr>
    </w:tbl>
    <w:p>
      <w:pPr>
        <w:pStyle w:val="Normal"/>
        <w:tabs>
          <w:tab w:val="clear" w:pos="720"/>
          <w:tab w:val="left" w:pos="-1440" w:leader="none"/>
        </w:tabs>
        <w:jc w:val="both"/>
        <w:rPr/>
      </w:pPr>
      <w:r>
        <w:rPr>
          <w:b/>
          <w:sz w:val="24"/>
          <w:u w:val="single"/>
        </w:rPr>
        <w:t>Canada</w:t>
      </w:r>
      <w:r>
        <w:rPr>
          <w:b/>
          <w:sz w:val="24"/>
        </w:rPr>
        <w:t xml:space="preserve">: </w:t>
      </w:r>
    </w:p>
    <w:p>
      <w:pPr>
        <w:pStyle w:val="Heading5"/>
        <w:rPr>
          <w:sz w:val="24"/>
        </w:rPr>
      </w:pPr>
      <w:r>
        <w:rPr>
          <w:sz w:val="24"/>
        </w:rPr>
        <w:t>Alberta</w:t>
      </w:r>
    </w:p>
    <w:p>
      <w:pPr>
        <w:pStyle w:val="Normal"/>
        <w:tabs>
          <w:tab w:val="clear" w:pos="720"/>
          <w:tab w:val="left" w:pos="-1440" w:leader="none"/>
        </w:tabs>
        <w:spacing w:before="0" w:after="0"/>
        <w:ind w:start="1170" w:end="0"/>
        <w:rPr>
          <w:sz w:val="24"/>
        </w:rPr>
      </w:pPr>
      <w:r>
        <w:rPr>
          <w:sz w:val="24"/>
        </w:rPr>
        <w:t>By law, all electric energy entering Alberta’s system must be bought and sold through the “Alberta Power Pool”.  Only a pool participant can buy and sell electricity through the Power Pool. Anyone wishing to participant must:</w:t>
      </w:r>
    </w:p>
    <w:p>
      <w:pPr>
        <w:pStyle w:val="List"/>
        <w:numPr>
          <w:ilvl w:val="0"/>
          <w:numId w:val="2"/>
        </w:numPr>
        <w:tabs>
          <w:tab w:val="clear" w:pos="720"/>
          <w:tab w:val="left" w:pos="-1440" w:leader="none"/>
        </w:tabs>
        <w:spacing w:before="0" w:after="0"/>
        <w:ind w:hanging="360" w:start="1890" w:end="0"/>
        <w:rPr>
          <w:sz w:val="24"/>
        </w:rPr>
      </w:pPr>
      <w:r>
        <w:rPr>
          <w:sz w:val="24"/>
        </w:rPr>
        <w:t>sign a participation agreement</w:t>
      </w:r>
    </w:p>
    <w:p>
      <w:pPr>
        <w:pStyle w:val="List"/>
        <w:numPr>
          <w:ilvl w:val="0"/>
          <w:numId w:val="2"/>
        </w:numPr>
        <w:tabs>
          <w:tab w:val="clear" w:pos="720"/>
          <w:tab w:val="left" w:pos="-1440" w:leader="none"/>
        </w:tabs>
        <w:spacing w:before="0" w:after="0"/>
        <w:ind w:hanging="360" w:start="1890" w:end="0"/>
        <w:rPr>
          <w:sz w:val="24"/>
        </w:rPr>
      </w:pPr>
      <w:r>
        <w:rPr>
          <w:sz w:val="24"/>
        </w:rPr>
        <w:t>pay a participation fee of $150 per year</w:t>
      </w:r>
    </w:p>
    <w:p>
      <w:pPr>
        <w:pStyle w:val="List"/>
        <w:numPr>
          <w:ilvl w:val="0"/>
          <w:numId w:val="2"/>
        </w:numPr>
        <w:tabs>
          <w:tab w:val="clear" w:pos="720"/>
          <w:tab w:val="left" w:pos="-1440" w:leader="none"/>
        </w:tabs>
        <w:spacing w:before="0" w:after="0"/>
        <w:ind w:hanging="360" w:start="1890" w:end="0"/>
        <w:rPr>
          <w:sz w:val="24"/>
        </w:rPr>
      </w:pPr>
      <w:r>
        <w:rPr>
          <w:sz w:val="24"/>
        </w:rPr>
        <w:t>pay a trading charge (proportional to volume of activity)</w:t>
      </w:r>
    </w:p>
    <w:p>
      <w:pPr>
        <w:pStyle w:val="List"/>
        <w:numPr>
          <w:ilvl w:val="0"/>
          <w:numId w:val="2"/>
        </w:numPr>
        <w:tabs>
          <w:tab w:val="clear" w:pos="720"/>
          <w:tab w:val="left" w:pos="-1440" w:leader="none"/>
        </w:tabs>
        <w:spacing w:before="0" w:after="0"/>
        <w:ind w:hanging="360" w:start="1890" w:end="0"/>
        <w:rPr>
          <w:sz w:val="24"/>
        </w:rPr>
      </w:pPr>
      <w:r>
        <w:rPr>
          <w:sz w:val="24"/>
        </w:rPr>
        <w:t>sign a transmission agreement with the transmission administrator</w:t>
      </w:r>
    </w:p>
    <w:p>
      <w:pPr>
        <w:pStyle w:val="Normal"/>
        <w:tabs>
          <w:tab w:val="clear" w:pos="720"/>
          <w:tab w:val="left" w:pos="-1440" w:leader="none"/>
        </w:tabs>
        <w:spacing w:before="0" w:after="0"/>
        <w:ind w:start="1170" w:end="0"/>
        <w:jc w:val="both"/>
        <w:rPr>
          <w:sz w:val="24"/>
        </w:rPr>
      </w:pPr>
      <w:r>
        <w:rPr>
          <w:sz w:val="24"/>
        </w:rPr>
        <w:t xml:space="preserve">Further, those who are purchasing from the pool must satisfy prudential requirements.  These requirements were established to ensure participants can meet financial obligations associated with trading in the pool.  Participants may need to provide a line of credit which the pool would have access to in case of late or default payments.  The Prudential Requirements will be met if: </w:t>
      </w:r>
    </w:p>
    <w:p>
      <w:pPr>
        <w:pStyle w:val="List"/>
        <w:numPr>
          <w:ilvl w:val="0"/>
          <w:numId w:val="2"/>
        </w:numPr>
        <w:tabs>
          <w:tab w:val="clear" w:pos="720"/>
          <w:tab w:val="left" w:pos="-1440" w:leader="none"/>
        </w:tabs>
        <w:spacing w:before="0" w:after="0"/>
        <w:ind w:hanging="360" w:start="1890" w:end="0"/>
        <w:rPr>
          <w:sz w:val="24"/>
        </w:rPr>
      </w:pPr>
      <w:r>
        <w:rPr>
          <w:sz w:val="24"/>
        </w:rPr>
        <w:t xml:space="preserve">the participant has at least an “A” rating from the Canadian Bond Rating Service or an equivalent rating from a major reputable bond rating service </w:t>
      </w:r>
      <w:r>
        <w:rPr>
          <w:rStyle w:val="FootnoteReference"/>
          <w:sz w:val="24"/>
          <w:vertAlign w:val="superscript"/>
        </w:rPr>
        <w:footnoteReference w:id="2"/>
      </w:r>
      <w:r>
        <w:rPr>
          <w:sz w:val="24"/>
        </w:rPr>
        <w:t xml:space="preserve">; or </w:t>
      </w:r>
    </w:p>
    <w:p>
      <w:pPr>
        <w:pStyle w:val="List"/>
        <w:numPr>
          <w:ilvl w:val="0"/>
          <w:numId w:val="2"/>
        </w:numPr>
        <w:tabs>
          <w:tab w:val="clear" w:pos="720"/>
          <w:tab w:val="left" w:pos="-1440" w:leader="none"/>
        </w:tabs>
        <w:spacing w:before="0" w:after="0"/>
        <w:ind w:hanging="360" w:start="1890" w:end="0"/>
        <w:rPr>
          <w:sz w:val="24"/>
        </w:rPr>
      </w:pPr>
      <w:r>
        <w:rPr>
          <w:sz w:val="24"/>
        </w:rPr>
        <w:t xml:space="preserve">the participant provides an acceptable bank guarantee, irrevocable letter of credit, or cash deposits drawn on a letter of credit or on a Canadian Chartered Bank, trust company, credit union or other acceptable lending institution for an amount equal to not less than the financial obligation expected and as estimated by the participant, to be owed to the Pool Administrator for two Production Periods. </w:t>
      </w:r>
    </w:p>
    <w:p>
      <w:pPr>
        <w:pStyle w:val="List"/>
        <w:tabs>
          <w:tab w:val="clear" w:pos="720"/>
          <w:tab w:val="left" w:pos="-1440" w:leader="none"/>
        </w:tabs>
        <w:spacing w:before="0" w:after="0"/>
        <w:ind w:hanging="0" w:start="0" w:end="0"/>
        <w:rPr>
          <w:sz w:val="24"/>
        </w:rPr>
      </w:pPr>
      <w:r>
        <w:rPr>
          <w:sz w:val="24"/>
        </w:rPr>
      </w:r>
    </w:p>
    <w:p>
      <w:pPr>
        <w:pStyle w:val="List"/>
        <w:tabs>
          <w:tab w:val="clear" w:pos="720"/>
          <w:tab w:val="left" w:pos="-1440" w:leader="none"/>
          <w:tab w:val="left" w:pos="1170" w:leader="none"/>
        </w:tabs>
        <w:spacing w:before="0" w:after="0"/>
        <w:ind w:hanging="0" w:start="1170" w:end="0"/>
        <w:rPr/>
      </w:pPr>
      <w:r>
        <w:rPr>
          <w:b/>
          <w:sz w:val="24"/>
          <w:u w:val="single"/>
        </w:rPr>
        <w:t>British Columbia</w:t>
      </w:r>
      <w:r>
        <w:rPr>
          <w:rStyle w:val="FootnoteCharacters"/>
          <w:rStyle w:val="FootnoteReference"/>
          <w:b/>
          <w:sz w:val="24"/>
          <w:u w:val="single"/>
        </w:rPr>
        <w:footnoteReference w:id="3"/>
      </w:r>
      <w:r>
        <w:rPr>
          <w:b/>
          <w:sz w:val="24"/>
          <w:u w:val="single"/>
        </w:rPr>
        <w:t xml:space="preserve">: </w:t>
      </w:r>
    </w:p>
    <w:p>
      <w:pPr>
        <w:pStyle w:val="BodyTextIndent2"/>
        <w:spacing w:before="0" w:after="0"/>
        <w:rPr>
          <w:sz w:val="24"/>
        </w:rPr>
      </w:pPr>
      <w:r>
        <w:rPr>
          <w:sz w:val="24"/>
        </w:rPr>
        <w:t>British Columbia uses FERC’s  pro forma language which states that for purposes of determining the ability of a customer to meet its obligations, the transmission provider may institute credit review procedures.  These procedures will be made in accordance with standard commercial practices established by the Canadian equivalent of the Uniform Commercial Code.  Additionally, these tariffs state that a transmission provider may require that the customer provide and maintain an unconditional and irrevocable letter of credit as security or some other form of security that is consistent with commercial practices.</w:t>
      </w:r>
    </w:p>
    <w:p>
      <w:pPr>
        <w:pStyle w:val="BodyTextIndent2"/>
        <w:keepNext w:val="true"/>
        <w:numPr>
          <w:ilvl w:val="0"/>
          <w:numId w:val="0"/>
        </w:numPr>
        <w:spacing w:before="0" w:after="0"/>
        <w:ind w:hanging="0" w:start="1170"/>
        <w:outlineLvl w:val="5"/>
        <w:rPr>
          <w:sz w:val="24"/>
        </w:rPr>
      </w:pPr>
      <w:r>
        <w:rPr>
          <w:sz w:val="24"/>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135" cy="1847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84785"/>
                      </a:xfrm>
                      <a:prstGeom prst="rect"/>
                      <a:solidFill>
                        <a:srgbClr val="FFFFFF">
                          <a:alpha val="0"/>
                        </a:srgbClr>
                      </a:solidFill>
                    </wps:spPr>
                    <wps:txbx>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4.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20"/>
          <w:tab w:val="left" w:pos="-1440" w:leader="none"/>
        </w:tabs>
        <w:spacing w:before="0" w:after="0"/>
        <w:rPr/>
      </w:pPr>
      <w:r>
        <w:rPr>
          <w:rStyle w:val="FootnoteCharacters"/>
        </w:rPr>
        <w:footnoteRef/>
      </w:r>
      <w:r>
        <w:rPr/>
        <w:t xml:space="preserve"> </w:t>
      </w:r>
      <w:r>
        <w:rPr/>
        <w:t>The following Trading Limits were established for participants falling under (a) above:</w:t>
      </w:r>
    </w:p>
    <w:p>
      <w:pPr>
        <w:pStyle w:val="Normal"/>
        <w:tabs>
          <w:tab w:val="clear" w:pos="720"/>
          <w:tab w:val="left" w:pos="-1440" w:leader="none"/>
        </w:tabs>
        <w:spacing w:before="0" w:after="0"/>
        <w:ind w:firstLine="1440" w:end="0"/>
        <w:rPr/>
      </w:pPr>
      <w:r>
        <w:rPr>
          <w:u w:val="single"/>
        </w:rPr>
        <w:t>Rating</w:t>
      </w:r>
      <w:r>
        <w:rPr/>
        <w:tab/>
        <w:tab/>
        <w:tab/>
      </w:r>
      <w:r>
        <w:rPr>
          <w:u w:val="single"/>
        </w:rPr>
        <w:t>Trading Limit</w:t>
      </w:r>
    </w:p>
    <w:p>
      <w:pPr>
        <w:pStyle w:val="Normal"/>
        <w:tabs>
          <w:tab w:val="clear" w:pos="720"/>
          <w:tab w:val="left" w:pos="-1440" w:leader="none"/>
        </w:tabs>
        <w:spacing w:before="0" w:after="0"/>
        <w:ind w:firstLine="1440" w:end="0"/>
        <w:rPr/>
      </w:pPr>
      <w:r>
        <w:rPr/>
        <w:t>A</w:t>
        <w:tab/>
        <w:tab/>
        <w:tab/>
        <w:t>$  500,000</w:t>
      </w:r>
    </w:p>
    <w:p>
      <w:pPr>
        <w:pStyle w:val="Normal"/>
        <w:tabs>
          <w:tab w:val="clear" w:pos="720"/>
          <w:tab w:val="left" w:pos="-1440" w:leader="none"/>
        </w:tabs>
        <w:spacing w:before="0" w:after="0"/>
        <w:ind w:firstLine="1440" w:end="0"/>
        <w:rPr/>
      </w:pPr>
      <w:r>
        <w:rPr/>
        <w:t>A+</w:t>
        <w:tab/>
        <w:tab/>
        <w:tab/>
        <w:t>$  750,000</w:t>
      </w:r>
    </w:p>
    <w:p>
      <w:pPr>
        <w:pStyle w:val="Normal"/>
        <w:tabs>
          <w:tab w:val="clear" w:pos="720"/>
          <w:tab w:val="left" w:pos="-1440" w:leader="none"/>
        </w:tabs>
        <w:spacing w:before="0" w:after="0"/>
        <w:ind w:firstLine="1440" w:end="0"/>
        <w:rPr/>
      </w:pPr>
      <w:r>
        <w:rPr/>
        <w:t>A++</w:t>
        <w:tab/>
        <w:tab/>
        <w:tab/>
        <w:t>$1,250,000</w:t>
      </w:r>
    </w:p>
    <w:p>
      <w:pPr>
        <w:pStyle w:val="BodyText"/>
        <w:spacing w:before="0" w:after="0"/>
        <w:rPr/>
      </w:pPr>
      <w:r>
        <w:rPr/>
        <w:t xml:space="preserve">If a participant’s financial obligations are expected to exceed the Trading Limits listed above, the participant must provide an alternative form of financial security in an amount determined by the Pool Administrator to be equal to the expected financial obligation in excess of the Trading Limit.  Please note that trading limits are in Canadian Dollars. </w:t>
      </w:r>
    </w:p>
  </w:footnote>
  <w:footnote w:id="3">
    <w:p>
      <w:pPr>
        <w:pStyle w:val="FootnoteText"/>
        <w:spacing w:before="60" w:after="60"/>
        <w:ind w:hanging="0" w:start="0" w:end="0"/>
        <w:rPr/>
      </w:pPr>
      <w:r>
        <w:rPr>
          <w:rStyle w:val="FootnoteCharacters"/>
        </w:rPr>
        <w:footnoteRef/>
      </w:r>
      <w:r>
        <w:rPr/>
        <w:t xml:space="preserve"> </w:t>
      </w:r>
      <w:r>
        <w:rPr/>
        <w:t xml:space="preserve">The Province of Quebec has also submitted FERC compliant filings in the spring of 1997.  It is safe to assume that their credit requirements for marketers are identical to that of the Province of British Columbia.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jc w:val="center"/>
      <w:rPr>
        <w:b/>
        <w:sz w:val="32"/>
      </w:rPr>
    </w:pPr>
    <w:r>
      <w:rPr>
        <w:b/>
        <w:sz w:val="32"/>
      </w:rPr>
      <w:t>DRAFT</w:t>
    </w:r>
  </w:p>
  <w:p>
    <w:pPr>
      <w:pStyle w:val="Header"/>
      <w:rPr>
        <w:b/>
        <w:sz w:val="32"/>
      </w:rPr>
    </w:pPr>
    <w:r>
      <w:rPr>
        <w:b/>
        <w:sz w:val="3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paragraph" w:styleId="Heading4">
    <w:name w:val="heading 4"/>
    <w:basedOn w:val="Normal"/>
    <w:next w:val="Normal"/>
    <w:qFormat/>
    <w:pPr>
      <w:keepNext w:val="true"/>
      <w:numPr>
        <w:ilvl w:val="3"/>
        <w:numId w:val="1"/>
      </w:numPr>
      <w:tabs>
        <w:tab w:val="clear" w:pos="720"/>
        <w:tab w:val="left" w:pos="-1440" w:leader="none"/>
      </w:tabs>
      <w:outlineLvl w:val="3"/>
    </w:pPr>
    <w:rPr>
      <w:b/>
      <w:u w:val="single"/>
    </w:rPr>
  </w:style>
  <w:style w:type="paragraph" w:styleId="Heading5">
    <w:name w:val="heading 5"/>
    <w:basedOn w:val="Normal"/>
    <w:next w:val="Normal"/>
    <w:qFormat/>
    <w:pPr>
      <w:keepNext w:val="true"/>
      <w:numPr>
        <w:ilvl w:val="4"/>
        <w:numId w:val="1"/>
      </w:numPr>
      <w:tabs>
        <w:tab w:val="clear" w:pos="720"/>
        <w:tab w:val="left" w:pos="-1440" w:leader="none"/>
      </w:tabs>
      <w:spacing w:before="0" w:after="0"/>
      <w:ind w:hanging="0" w:start="1170" w:end="0"/>
      <w:outlineLvl w:val="4"/>
    </w:pPr>
    <w:rPr>
      <w:b/>
      <w:u w:val="single"/>
    </w:rPr>
  </w:style>
  <w:style w:type="paragraph" w:styleId="Heading6">
    <w:name w:val="heading 6"/>
    <w:basedOn w:val="Normal"/>
    <w:next w:val="Normal"/>
    <w:qFormat/>
    <w:pPr>
      <w:keepNext w:val="true"/>
      <w:numPr>
        <w:ilvl w:val="5"/>
        <w:numId w:val="1"/>
      </w:numPr>
      <w:tabs>
        <w:tab w:val="clear" w:pos="720"/>
        <w:tab w:val="left" w:pos="-1440" w:leader="none"/>
      </w:tabs>
      <w:outlineLvl w:val="5"/>
    </w:pPr>
    <w:rPr>
      <w:b/>
      <w:sz w:val="22"/>
      <w:u w:val="single"/>
    </w:rPr>
  </w:style>
  <w:style w:type="paragraph" w:styleId="Heading7">
    <w:name w:val="heading 7"/>
    <w:basedOn w:val="Normal"/>
    <w:next w:val="Normal"/>
    <w:qFormat/>
    <w:pPr>
      <w:keepNext w:val="true"/>
      <w:numPr>
        <w:ilvl w:val="6"/>
        <w:numId w:val="1"/>
      </w:numPr>
      <w:outlineLvl w:val="6"/>
    </w:pPr>
    <w:rPr>
      <w:sz w:val="24"/>
    </w:rPr>
  </w:style>
  <w:style w:type="paragraph" w:styleId="Heading8">
    <w:name w:val="heading 8"/>
    <w:basedOn w:val="Normal"/>
    <w:next w:val="Normal"/>
    <w:qFormat/>
    <w:pPr>
      <w:keepNext w:val="true"/>
      <w:numPr>
        <w:ilvl w:val="7"/>
        <w:numId w:val="1"/>
      </w:numPr>
      <w:spacing w:before="0" w:after="0"/>
      <w:jc w:val="center"/>
      <w:outlineLvl w:val="7"/>
    </w:pPr>
    <w:rPr>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10z0">
    <w:name w:val="WW8Num10z0"/>
    <w:qFormat/>
    <w:rPr/>
  </w:style>
  <w:style w:type="character" w:styleId="WW8Num13z0">
    <w:name w:val="WW8Num13z0"/>
    <w:qFormat/>
    <w:rPr/>
  </w:style>
  <w:style w:type="character" w:styleId="WW8Num15z0">
    <w:name w:val="WW8Num15z0"/>
    <w:qFormat/>
    <w:rPr/>
  </w:style>
  <w:style w:type="character" w:styleId="WW8NumSt15z0">
    <w:name w:val="WW8NumSt15z0"/>
    <w:qFormat/>
    <w:rPr>
      <w:rFonts w:ascii="Symbol" w:hAnsi="Symbol" w:cs="Symbol"/>
    </w:rPr>
  </w:style>
  <w:style w:type="character" w:styleId="WW8NumSt16z0">
    <w:name w:val="WW8NumSt1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tabs>
        <w:tab w:val="clear" w:pos="720"/>
        <w:tab w:val="left" w:pos="-1440" w:leader="none"/>
      </w:tabs>
      <w:jc w:val="both"/>
    </w:pPr>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BodyTextIndent">
    <w:name w:val="Body Text Indent"/>
    <w:basedOn w:val="Normal"/>
    <w:pPr>
      <w:spacing w:before="0" w:after="0"/>
    </w:pPr>
    <w:rPr>
      <w:sz w:val="22"/>
    </w:rPr>
  </w:style>
  <w:style w:type="paragraph" w:styleId="BodyTextIndent2">
    <w:name w:val="Body Text Indent 2"/>
    <w:basedOn w:val="Normal"/>
    <w:qFormat/>
    <w:pPr>
      <w:tabs>
        <w:tab w:val="clear" w:pos="720"/>
        <w:tab w:val="left" w:pos="-1440" w:leader="none"/>
      </w:tabs>
      <w:ind w:hanging="0" w:start="1170" w:end="0"/>
      <w:jc w:val="both"/>
    </w:pPr>
    <w:rPr/>
  </w:style>
  <w:style w:type="paragraph" w:styleId="BodyTextIndent3">
    <w:name w:val="Body Text Indent 3"/>
    <w:basedOn w:val="Normal"/>
    <w:qFormat/>
    <w:pPr>
      <w:tabs>
        <w:tab w:val="clear" w:pos="720"/>
        <w:tab w:val="left" w:pos="630" w:leader="none"/>
      </w:tabs>
      <w:spacing w:before="0" w:after="0"/>
      <w:ind w:hanging="0" w:start="630" w:end="0"/>
      <w:jc w:val="both"/>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before="0" w:after="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International 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2001-07-13T08:38:00Z</dcterms:created>
  <dc:creator>ibrahim</dc:creator>
  <dc:description/>
  <dc:language>en-CA</dc:language>
  <cp:lastModifiedBy>enron</cp:lastModifiedBy>
  <cp:lastPrinted>1998-09-21T17:30:00Z</cp:lastPrinted>
  <dcterms:modified xsi:type="dcterms:W3CDTF">2001-07-13T08:39:00Z</dcterms:modified>
  <cp:revision>3</cp:revision>
  <dc:subject/>
  <dc:title>Enron International Memo</dc:title>
</cp:coreProperties>
</file>