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
        <w:tabs>
          <w:tab w:val="clear" w:pos="720"/>
          <w:tab w:val="left" w:pos="-1440" w:leader="none"/>
        </w:tabs>
        <w:spacing w:before="0" w:after="0"/>
        <w:ind w:hanging="0" w:start="0" w:end="0"/>
        <w:jc w:val="both"/>
        <w:rPr>
          <w:sz w:val="24"/>
        </w:rPr>
      </w:pPr>
      <w:r>
        <w:rPr>
          <w:sz w:val="24"/>
        </w:rPr>
        <w:t xml:space="preserve">This summary is as follows: </w:t>
      </w:r>
    </w:p>
    <w:p>
      <w:pPr>
        <w:pStyle w:val="List"/>
        <w:tabs>
          <w:tab w:val="clear" w:pos="720"/>
          <w:tab w:val="left" w:pos="-1440" w:leader="none"/>
        </w:tabs>
        <w:spacing w:before="0" w:after="0"/>
        <w:ind w:hanging="0" w:start="0" w:end="0"/>
        <w:jc w:val="both"/>
        <w:rPr>
          <w:sz w:val="24"/>
        </w:rPr>
      </w:pPr>
      <w:r>
        <w:rPr>
          <w:sz w:val="24"/>
        </w:rPr>
      </w:r>
    </w:p>
    <w:tbl>
      <w:tblPr>
        <w:tblW w:w="8748" w:type="dxa"/>
        <w:jc w:val="start"/>
        <w:tblInd w:w="0" w:type="dxa"/>
        <w:tblLayout w:type="fixed"/>
        <w:tblCellMar>
          <w:top w:w="0" w:type="dxa"/>
          <w:start w:w="108" w:type="dxa"/>
          <w:bottom w:w="0" w:type="dxa"/>
          <w:end w:w="108" w:type="dxa"/>
        </w:tblCellMar>
      </w:tblPr>
      <w:tblGrid>
        <w:gridCol w:w="1998"/>
        <w:gridCol w:w="6750"/>
      </w:tblGrid>
      <w:tr>
        <w:trPr/>
        <w:tc>
          <w:tcPr>
            <w:tcW w:w="1998" w:type="dxa"/>
            <w:tcBorders/>
          </w:tcPr>
          <w:p>
            <w:pPr>
              <w:pStyle w:val="List"/>
              <w:tabs>
                <w:tab w:val="clear" w:pos="720"/>
                <w:tab w:val="left" w:pos="-1440" w:leader="none"/>
              </w:tabs>
              <w:spacing w:before="0" w:after="0"/>
              <w:ind w:hanging="0" w:start="0" w:end="0"/>
              <w:jc w:val="both"/>
              <w:rPr>
                <w:b/>
                <w:sz w:val="24"/>
              </w:rPr>
            </w:pPr>
            <w:r>
              <w:rPr>
                <w:b/>
                <w:sz w:val="24"/>
              </w:rPr>
              <w:t>Australia</w:t>
            </w:r>
          </w:p>
        </w:tc>
        <w:tc>
          <w:tcPr>
            <w:tcW w:w="6750" w:type="dxa"/>
            <w:tcBorders/>
          </w:tcPr>
          <w:p>
            <w:pPr>
              <w:pStyle w:val="Normal"/>
              <w:tabs>
                <w:tab w:val="clear" w:pos="720"/>
                <w:tab w:val="left" w:pos="-1440" w:leader="none"/>
              </w:tabs>
              <w:spacing w:before="0" w:after="0"/>
              <w:ind w:start="252" w:end="0"/>
              <w:jc w:val="both"/>
              <w:rPr>
                <w:sz w:val="24"/>
              </w:rPr>
            </w:pPr>
            <w:r>
              <w:rPr>
                <w:sz w:val="24"/>
              </w:rPr>
              <w:t xml:space="preserve">Guarantees in Victoria Pools take the form of an instrument from with banks or other acceptable institutions.  New South Wales Pool relies on an acceptable credit rating or a financial instrument from a bank. The guarantee shall not exceed and estimate of 45 days trading in the pool. </w:t>
            </w:r>
          </w:p>
          <w:p>
            <w:pPr>
              <w:pStyle w:val="Normal"/>
              <w:tabs>
                <w:tab w:val="clear" w:pos="720"/>
                <w:tab w:val="left" w:pos="-1440" w:leader="none"/>
              </w:tabs>
              <w:spacing w:before="0" w:after="0"/>
              <w:ind w:start="252" w:end="0"/>
              <w:jc w:val="both"/>
              <w:rPr>
                <w:sz w:val="24"/>
              </w:rPr>
            </w:pPr>
            <w:r>
              <w:rPr>
                <w:sz w:val="24"/>
              </w:rPr>
            </w:r>
          </w:p>
        </w:tc>
      </w:tr>
    </w:tbl>
    <w:p>
      <w:pPr>
        <w:pStyle w:val="Normal"/>
        <w:spacing w:before="0" w:after="0"/>
        <w:rPr>
          <w:i/>
          <w:i/>
          <w:sz w:val="24"/>
        </w:rPr>
      </w:pPr>
      <w:r>
        <w:rPr>
          <w:i/>
          <w:sz w:val="24"/>
        </w:rPr>
      </w:r>
    </w:p>
    <w:p>
      <w:pPr>
        <w:pStyle w:val="Normal"/>
        <w:rPr/>
      </w:pPr>
      <w:r>
        <w:rPr>
          <w:b/>
          <w:sz w:val="24"/>
          <w:u w:val="single"/>
        </w:rPr>
        <w:t>Australia</w:t>
      </w:r>
      <w:r>
        <w:rPr>
          <w:b/>
          <w:sz w:val="24"/>
        </w:rPr>
        <w:t>:</w:t>
      </w:r>
    </w:p>
    <w:p>
      <w:pPr>
        <w:pStyle w:val="Normal"/>
        <w:tabs>
          <w:tab w:val="clear" w:pos="720"/>
          <w:tab w:val="left" w:pos="-1440" w:leader="none"/>
        </w:tabs>
        <w:rPr>
          <w:sz w:val="24"/>
        </w:rPr>
      </w:pPr>
      <w:r>
        <w:rPr>
          <w:sz w:val="24"/>
        </w:rPr>
        <w:t xml:space="preserve">Victoria and New South Wales are the two Australian states that have moved forward in opening up their electricity markets to wholesale competition.  The details of the required guarantees are as follows: </w:t>
      </w:r>
    </w:p>
    <w:p>
      <w:pPr>
        <w:pStyle w:val="FootnoteText"/>
        <w:numPr>
          <w:ilvl w:val="0"/>
          <w:numId w:val="3"/>
        </w:numPr>
        <w:tabs>
          <w:tab w:val="clear" w:pos="720"/>
          <w:tab w:val="left" w:pos="-1440" w:leader="none"/>
          <w:tab w:val="left" w:pos="1170" w:leader="none"/>
        </w:tabs>
        <w:spacing w:before="0" w:after="0"/>
        <w:ind w:hanging="360" w:start="1170" w:end="0"/>
        <w:rPr>
          <w:b/>
          <w:sz w:val="24"/>
        </w:rPr>
      </w:pPr>
      <w:r>
        <w:rPr>
          <w:b/>
          <w:sz w:val="24"/>
        </w:rPr>
        <w:t>Victoria</w:t>
      </w:r>
    </w:p>
    <w:p>
      <w:pPr>
        <w:pStyle w:val="Normal"/>
        <w:tabs>
          <w:tab w:val="clear" w:pos="720"/>
          <w:tab w:val="left" w:pos="-1440" w:leader="none"/>
          <w:tab w:val="left" w:pos="1170" w:leader="none"/>
        </w:tabs>
        <w:spacing w:before="0" w:after="0"/>
        <w:ind w:start="1170" w:end="0"/>
        <w:rPr>
          <w:sz w:val="24"/>
        </w:rPr>
      </w:pPr>
      <w:r>
        <w:rPr>
          <w:sz w:val="24"/>
        </w:rPr>
        <w:t xml:space="preserve">The Victoria Pool Rules states that all participants must provide and maintain a security, subject to certain exemptions.  This security can take the form of either: </w:t>
      </w:r>
    </w:p>
    <w:p>
      <w:pPr>
        <w:pStyle w:val="List"/>
        <w:numPr>
          <w:ilvl w:val="1"/>
          <w:numId w:val="3"/>
        </w:numPr>
        <w:tabs>
          <w:tab w:val="clear" w:pos="720"/>
          <w:tab w:val="left" w:pos="-1440" w:leader="none"/>
          <w:tab w:val="left" w:pos="1440" w:leader="none"/>
        </w:tabs>
        <w:spacing w:before="0" w:after="0"/>
        <w:ind w:hanging="360" w:start="1890" w:end="0"/>
        <w:rPr>
          <w:sz w:val="24"/>
        </w:rPr>
      </w:pPr>
      <w:r>
        <w:rPr>
          <w:sz w:val="24"/>
        </w:rPr>
        <w:t>a bank guarantee in a form and from a bank acceptable to the Victoria Pool; or</w:t>
      </w:r>
    </w:p>
    <w:p>
      <w:pPr>
        <w:pStyle w:val="List"/>
        <w:numPr>
          <w:ilvl w:val="1"/>
          <w:numId w:val="3"/>
        </w:numPr>
        <w:tabs>
          <w:tab w:val="clear" w:pos="720"/>
          <w:tab w:val="left" w:pos="-1440" w:leader="none"/>
          <w:tab w:val="left" w:pos="1440" w:leader="none"/>
        </w:tabs>
        <w:spacing w:before="0" w:after="0"/>
        <w:ind w:hanging="360" w:start="1890" w:end="0"/>
        <w:rPr>
          <w:sz w:val="24"/>
        </w:rPr>
      </w:pPr>
      <w:r>
        <w:rPr>
          <w:sz w:val="24"/>
        </w:rPr>
        <w:t>another immediate, irrevocable and unconditional commitment in a form and from a government or a bank or other institution acceptable to the Victoria Pool.</w:t>
      </w:r>
    </w:p>
    <w:p>
      <w:pPr>
        <w:pStyle w:val="Normal"/>
        <w:tabs>
          <w:tab w:val="clear" w:pos="720"/>
          <w:tab w:val="left" w:pos="-1440" w:leader="none"/>
          <w:tab w:val="left" w:pos="1170" w:leader="none"/>
        </w:tabs>
        <w:spacing w:before="0" w:after="0"/>
        <w:rPr>
          <w:sz w:val="24"/>
        </w:rPr>
      </w:pPr>
      <w:r>
        <w:rPr>
          <w:sz w:val="24"/>
        </w:rPr>
      </w:r>
    </w:p>
    <w:p>
      <w:pPr>
        <w:pStyle w:val="Normal"/>
        <w:tabs>
          <w:tab w:val="clear" w:pos="720"/>
          <w:tab w:val="left" w:pos="-1440" w:leader="none"/>
          <w:tab w:val="left" w:pos="1170" w:leader="none"/>
        </w:tabs>
        <w:spacing w:before="0" w:after="0"/>
        <w:ind w:start="1170" w:end="0"/>
        <w:rPr>
          <w:sz w:val="24"/>
        </w:rPr>
      </w:pPr>
      <w:r>
        <w:rPr>
          <w:sz w:val="24"/>
        </w:rPr>
        <w:t>The amount that Victoria Pool is entitled to be paid as security by a participant should not be less than the participant’s maximum exposure at the time.</w:t>
      </w:r>
    </w:p>
    <w:p>
      <w:pPr>
        <w:pStyle w:val="Normal"/>
        <w:tabs>
          <w:tab w:val="clear" w:pos="720"/>
          <w:tab w:val="left" w:pos="-1440" w:leader="none"/>
          <w:tab w:val="left" w:pos="1170" w:leader="none"/>
        </w:tabs>
        <w:spacing w:before="0" w:after="0"/>
        <w:ind w:start="1170" w:end="0"/>
        <w:rPr>
          <w:sz w:val="24"/>
        </w:rPr>
      </w:pPr>
      <w:r>
        <w:rPr>
          <w:sz w:val="24"/>
        </w:rPr>
        <w:t xml:space="preserve">  </w:t>
      </w:r>
    </w:p>
    <w:p>
      <w:pPr>
        <w:pStyle w:val="FootnoteText"/>
        <w:numPr>
          <w:ilvl w:val="0"/>
          <w:numId w:val="3"/>
        </w:numPr>
        <w:tabs>
          <w:tab w:val="clear" w:pos="720"/>
          <w:tab w:val="left" w:pos="-1440" w:leader="none"/>
          <w:tab w:val="left" w:pos="1170" w:leader="none"/>
        </w:tabs>
        <w:spacing w:before="0" w:after="0"/>
        <w:ind w:hanging="360" w:start="1170" w:end="0"/>
        <w:rPr>
          <w:b/>
          <w:sz w:val="24"/>
        </w:rPr>
      </w:pPr>
      <w:r>
        <w:rPr>
          <w:b/>
          <w:sz w:val="24"/>
        </w:rPr>
        <w:t>New South Wales</w:t>
      </w:r>
    </w:p>
    <w:p>
      <w:pPr>
        <w:pStyle w:val="Normal"/>
        <w:tabs>
          <w:tab w:val="clear" w:pos="720"/>
          <w:tab w:val="left" w:pos="-1440" w:leader="none"/>
          <w:tab w:val="left" w:pos="1170" w:leader="none"/>
        </w:tabs>
        <w:spacing w:before="0" w:after="0"/>
        <w:ind w:start="1170" w:end="0"/>
        <w:rPr>
          <w:sz w:val="24"/>
        </w:rPr>
      </w:pPr>
      <w:r>
        <w:rPr>
          <w:sz w:val="24"/>
        </w:rPr>
        <w:t>The  New South Wales Pool rules states the criteria for credit requirements should encompass:</w:t>
      </w:r>
    </w:p>
    <w:p>
      <w:pPr>
        <w:pStyle w:val="List"/>
        <w:numPr>
          <w:ilvl w:val="0"/>
          <w:numId w:val="2"/>
        </w:numPr>
        <w:tabs>
          <w:tab w:val="clear" w:pos="720"/>
          <w:tab w:val="left" w:pos="-1440" w:leader="none"/>
        </w:tabs>
        <w:spacing w:before="0" w:after="0"/>
        <w:ind w:hanging="360" w:start="1890" w:end="0"/>
        <w:jc w:val="both"/>
        <w:rPr>
          <w:sz w:val="24"/>
        </w:rPr>
      </w:pPr>
      <w:r>
        <w:rPr>
          <w:sz w:val="24"/>
        </w:rPr>
        <w:t>support a viable wholesale electricity market with robust competition, by developing and maintaining a high degree of confidence in the market;</w:t>
      </w:r>
    </w:p>
    <w:p>
      <w:pPr>
        <w:pStyle w:val="List"/>
        <w:numPr>
          <w:ilvl w:val="0"/>
          <w:numId w:val="2"/>
        </w:numPr>
        <w:tabs>
          <w:tab w:val="clear" w:pos="720"/>
          <w:tab w:val="left" w:pos="-1440" w:leader="none"/>
        </w:tabs>
        <w:spacing w:before="0" w:after="0"/>
        <w:ind w:hanging="360" w:start="1890" w:end="0"/>
        <w:jc w:val="both"/>
        <w:rPr>
          <w:sz w:val="24"/>
        </w:rPr>
      </w:pPr>
      <w:r>
        <w:rPr>
          <w:sz w:val="24"/>
        </w:rPr>
        <w:t>to ensure that the payment obligations of pool participants are appropriately secured against pool participant default;</w:t>
      </w:r>
    </w:p>
    <w:p>
      <w:pPr>
        <w:pStyle w:val="List"/>
        <w:numPr>
          <w:ilvl w:val="0"/>
          <w:numId w:val="2"/>
        </w:numPr>
        <w:tabs>
          <w:tab w:val="clear" w:pos="720"/>
          <w:tab w:val="left" w:pos="-1440" w:leader="none"/>
        </w:tabs>
        <w:spacing w:before="0" w:after="0"/>
        <w:ind w:hanging="360" w:start="1890" w:end="0"/>
        <w:jc w:val="both"/>
        <w:rPr>
          <w:sz w:val="24"/>
        </w:rPr>
      </w:pPr>
      <w:r>
        <w:rPr>
          <w:sz w:val="24"/>
        </w:rPr>
        <w:t>keep barriers to entry, and transaction costs, as low as possible while ensuring integrity of the market;</w:t>
      </w:r>
    </w:p>
    <w:p>
      <w:pPr>
        <w:pStyle w:val="List"/>
        <w:numPr>
          <w:ilvl w:val="0"/>
          <w:numId w:val="2"/>
        </w:numPr>
        <w:tabs>
          <w:tab w:val="clear" w:pos="720"/>
          <w:tab w:val="left" w:pos="-1440" w:leader="none"/>
        </w:tabs>
        <w:spacing w:before="0" w:after="0"/>
        <w:ind w:hanging="360" w:start="1890" w:end="0"/>
        <w:jc w:val="both"/>
        <w:rPr>
          <w:sz w:val="24"/>
        </w:rPr>
      </w:pPr>
      <w:r>
        <w:rPr>
          <w:sz w:val="24"/>
        </w:rPr>
        <w:t>treat all pool participants equitably, relying on objective assessment criteria; and</w:t>
      </w:r>
    </w:p>
    <w:p>
      <w:pPr>
        <w:pStyle w:val="List"/>
        <w:numPr>
          <w:ilvl w:val="0"/>
          <w:numId w:val="2"/>
        </w:numPr>
        <w:tabs>
          <w:tab w:val="clear" w:pos="720"/>
          <w:tab w:val="left" w:pos="-1440" w:leader="none"/>
        </w:tabs>
        <w:spacing w:before="0" w:after="0"/>
        <w:ind w:hanging="360" w:start="1890" w:end="0"/>
        <w:jc w:val="both"/>
        <w:rPr>
          <w:sz w:val="24"/>
        </w:rPr>
      </w:pPr>
      <w:r>
        <w:rPr>
          <w:sz w:val="24"/>
        </w:rPr>
        <w:t>use commercially sensible practices.</w:t>
      </w:r>
    </w:p>
    <w:p>
      <w:pPr>
        <w:pStyle w:val="Normal"/>
        <w:tabs>
          <w:tab w:val="clear" w:pos="720"/>
          <w:tab w:val="left" w:pos="-1440" w:leader="none"/>
        </w:tabs>
        <w:spacing w:before="0" w:after="0"/>
        <w:rPr>
          <w:sz w:val="24"/>
        </w:rPr>
      </w:pPr>
      <w:r>
        <w:rPr>
          <w:sz w:val="24"/>
        </w:rPr>
      </w:r>
    </w:p>
    <w:p>
      <w:pPr>
        <w:pStyle w:val="Normal"/>
        <w:tabs>
          <w:tab w:val="clear" w:pos="720"/>
          <w:tab w:val="left" w:pos="-1440" w:leader="none"/>
          <w:tab w:val="left" w:pos="1170" w:leader="none"/>
        </w:tabs>
        <w:spacing w:before="0" w:after="0"/>
        <w:ind w:start="1170" w:end="0"/>
        <w:rPr>
          <w:sz w:val="24"/>
        </w:rPr>
      </w:pPr>
      <w:r>
        <w:rPr>
          <w:sz w:val="24"/>
        </w:rPr>
        <w:t>For an entity to meet acceptable credit criteria, it must:</w:t>
      </w:r>
    </w:p>
    <w:p>
      <w:pPr>
        <w:pStyle w:val="List"/>
        <w:numPr>
          <w:ilvl w:val="0"/>
          <w:numId w:val="2"/>
        </w:numPr>
        <w:tabs>
          <w:tab w:val="clear" w:pos="720"/>
          <w:tab w:val="left" w:pos="-1440" w:leader="none"/>
        </w:tabs>
        <w:spacing w:before="0" w:after="0"/>
        <w:ind w:hanging="360" w:start="1890" w:end="0"/>
        <w:jc w:val="both"/>
        <w:rPr>
          <w:sz w:val="24"/>
        </w:rPr>
      </w:pPr>
      <w:r>
        <w:rPr>
          <w:sz w:val="24"/>
        </w:rPr>
        <w:t>be resident in, or have a permanent establishment in, Australia;</w:t>
      </w:r>
    </w:p>
    <w:p>
      <w:pPr>
        <w:pStyle w:val="List"/>
        <w:numPr>
          <w:ilvl w:val="0"/>
          <w:numId w:val="2"/>
        </w:numPr>
        <w:tabs>
          <w:tab w:val="clear" w:pos="720"/>
          <w:tab w:val="left" w:pos="-1440" w:leader="none"/>
        </w:tabs>
        <w:spacing w:before="0" w:after="0"/>
        <w:ind w:hanging="360" w:start="1890" w:end="0"/>
        <w:jc w:val="both"/>
        <w:rPr>
          <w:sz w:val="24"/>
        </w:rPr>
      </w:pPr>
      <w:r>
        <w:rPr>
          <w:sz w:val="24"/>
        </w:rPr>
        <w:t>not be under external administration (as defined in the Corporations Law) or under a similar form of administration under any laws applicable to it in an jurisdiction;</w:t>
      </w:r>
    </w:p>
    <w:p>
      <w:pPr>
        <w:pStyle w:val="List"/>
        <w:numPr>
          <w:ilvl w:val="0"/>
          <w:numId w:val="2"/>
        </w:numPr>
        <w:tabs>
          <w:tab w:val="clear" w:pos="720"/>
          <w:tab w:val="left" w:pos="-1440" w:leader="none"/>
        </w:tabs>
        <w:spacing w:before="0" w:after="0"/>
        <w:ind w:hanging="360" w:start="1890" w:end="0"/>
        <w:jc w:val="both"/>
        <w:rPr>
          <w:sz w:val="24"/>
        </w:rPr>
      </w:pPr>
      <w:r>
        <w:rPr>
          <w:sz w:val="24"/>
        </w:rPr>
        <w:t>not be immune from suit;</w:t>
      </w:r>
    </w:p>
    <w:p>
      <w:pPr>
        <w:pStyle w:val="List"/>
        <w:numPr>
          <w:ilvl w:val="0"/>
          <w:numId w:val="2"/>
        </w:numPr>
        <w:tabs>
          <w:tab w:val="clear" w:pos="720"/>
          <w:tab w:val="left" w:pos="-1440" w:leader="none"/>
        </w:tabs>
        <w:spacing w:before="0" w:after="0"/>
        <w:ind w:hanging="360" w:start="1890" w:end="0"/>
        <w:jc w:val="both"/>
        <w:rPr>
          <w:sz w:val="24"/>
        </w:rPr>
      </w:pPr>
      <w:r>
        <w:rPr>
          <w:sz w:val="24"/>
        </w:rPr>
        <w:t>be capable of being sued in its own name in a court of Australia; and</w:t>
      </w:r>
    </w:p>
    <w:p>
      <w:pPr>
        <w:pStyle w:val="List"/>
        <w:numPr>
          <w:ilvl w:val="0"/>
          <w:numId w:val="2"/>
        </w:numPr>
        <w:tabs>
          <w:tab w:val="clear" w:pos="720"/>
          <w:tab w:val="left" w:pos="-1440" w:leader="none"/>
        </w:tabs>
        <w:spacing w:before="0" w:after="0"/>
        <w:ind w:hanging="360" w:start="1890" w:end="0"/>
        <w:jc w:val="both"/>
        <w:rPr>
          <w:sz w:val="24"/>
        </w:rPr>
      </w:pPr>
      <w:r>
        <w:rPr>
          <w:sz w:val="24"/>
        </w:rPr>
        <w:t>have an acceptable credit rating.</w:t>
      </w:r>
    </w:p>
    <w:p>
      <w:pPr>
        <w:pStyle w:val="List"/>
        <w:tabs>
          <w:tab w:val="clear" w:pos="720"/>
          <w:tab w:val="left" w:pos="-1440" w:leader="none"/>
        </w:tabs>
        <w:spacing w:before="0" w:after="0"/>
        <w:ind w:hanging="0" w:start="1530" w:end="0"/>
        <w:rPr>
          <w:sz w:val="24"/>
        </w:rPr>
      </w:pPr>
      <w:r>
        <w:rPr>
          <w:sz w:val="24"/>
        </w:rPr>
      </w:r>
    </w:p>
    <w:p>
      <w:pPr>
        <w:pStyle w:val="Normal"/>
        <w:tabs>
          <w:tab w:val="clear" w:pos="720"/>
          <w:tab w:val="left" w:pos="-1440" w:leader="none"/>
          <w:tab w:val="left" w:pos="1170" w:leader="none"/>
        </w:tabs>
        <w:spacing w:before="0" w:after="0"/>
        <w:ind w:start="1170" w:end="0"/>
        <w:rPr>
          <w:sz w:val="24"/>
        </w:rPr>
      </w:pPr>
      <w:r>
        <w:rPr>
          <w:sz w:val="24"/>
        </w:rPr>
        <w:t xml:space="preserve">The Market and System Operator may determine what constitutes an acceptable credit rating.  Currently, an acceptable credit rating is either: </w:t>
      </w:r>
    </w:p>
    <w:p>
      <w:pPr>
        <w:pStyle w:val="List"/>
        <w:numPr>
          <w:ilvl w:val="0"/>
          <w:numId w:val="2"/>
        </w:numPr>
        <w:tabs>
          <w:tab w:val="clear" w:pos="720"/>
          <w:tab w:val="left" w:pos="-1440" w:leader="none"/>
        </w:tabs>
        <w:spacing w:before="0" w:after="0"/>
        <w:ind w:hanging="360" w:start="1890" w:end="0"/>
        <w:jc w:val="both"/>
        <w:rPr>
          <w:sz w:val="24"/>
        </w:rPr>
      </w:pPr>
      <w:r>
        <w:rPr>
          <w:sz w:val="24"/>
        </w:rPr>
        <w:t>A rating of A-1 or higher for short term unsecured obligations of the entity, as rated by Standard and Poor’s (Australia) Pty. Limited; or</w:t>
      </w:r>
    </w:p>
    <w:p>
      <w:pPr>
        <w:pStyle w:val="List"/>
        <w:numPr>
          <w:ilvl w:val="0"/>
          <w:numId w:val="2"/>
        </w:numPr>
        <w:tabs>
          <w:tab w:val="clear" w:pos="720"/>
          <w:tab w:val="left" w:pos="-1440" w:leader="none"/>
        </w:tabs>
        <w:spacing w:before="0" w:after="0"/>
        <w:ind w:hanging="360" w:start="1890" w:end="0"/>
        <w:jc w:val="both"/>
        <w:rPr>
          <w:sz w:val="24"/>
        </w:rPr>
      </w:pPr>
      <w:r>
        <w:rPr>
          <w:sz w:val="24"/>
        </w:rPr>
        <w:t>A rating of P-1 or higher for short term unsecured obligations of the entity, as rated by Moodys Investor Service Pty. Limited.</w:t>
      </w:r>
    </w:p>
    <w:p>
      <w:pPr>
        <w:pStyle w:val="Normal"/>
        <w:tabs>
          <w:tab w:val="clear" w:pos="720"/>
          <w:tab w:val="left" w:pos="-1440" w:leader="none"/>
        </w:tabs>
        <w:spacing w:before="0" w:after="0"/>
        <w:rPr>
          <w:sz w:val="24"/>
        </w:rPr>
      </w:pPr>
      <w:r>
        <w:rPr>
          <w:sz w:val="24"/>
        </w:rPr>
      </w:r>
    </w:p>
    <w:p>
      <w:pPr>
        <w:pStyle w:val="Normal"/>
        <w:tabs>
          <w:tab w:val="clear" w:pos="720"/>
          <w:tab w:val="left" w:pos="-1440" w:leader="none"/>
          <w:tab w:val="left" w:pos="1170" w:leader="none"/>
        </w:tabs>
        <w:spacing w:before="0" w:after="0"/>
        <w:ind w:start="1170" w:end="0"/>
        <w:rPr>
          <w:sz w:val="24"/>
        </w:rPr>
      </w:pPr>
      <w:r>
        <w:rPr>
          <w:sz w:val="24"/>
        </w:rPr>
        <w:t>In case that a pool participant does not meet the acceptable credit criteria.  The participant is required to provide credit support to the Market and System Operator, which must:</w:t>
      </w:r>
    </w:p>
    <w:p>
      <w:pPr>
        <w:pStyle w:val="List"/>
        <w:numPr>
          <w:ilvl w:val="0"/>
          <w:numId w:val="2"/>
        </w:numPr>
        <w:tabs>
          <w:tab w:val="clear" w:pos="720"/>
          <w:tab w:val="left" w:pos="-1440" w:leader="none"/>
        </w:tabs>
        <w:spacing w:before="0" w:after="0"/>
        <w:ind w:hanging="360" w:start="1890" w:end="0"/>
        <w:jc w:val="both"/>
        <w:rPr>
          <w:sz w:val="24"/>
        </w:rPr>
      </w:pPr>
      <w:r>
        <w:rPr>
          <w:sz w:val="24"/>
        </w:rPr>
        <w:t>Be from an entity (the credit support provider) which meets the acceptable credit criteria;</w:t>
      </w:r>
    </w:p>
    <w:p>
      <w:pPr>
        <w:pStyle w:val="List"/>
        <w:numPr>
          <w:ilvl w:val="0"/>
          <w:numId w:val="2"/>
        </w:numPr>
        <w:tabs>
          <w:tab w:val="clear" w:pos="720"/>
          <w:tab w:val="left" w:pos="-1440" w:leader="none"/>
        </w:tabs>
        <w:spacing w:before="0" w:after="0"/>
        <w:ind w:hanging="360" w:start="1890" w:end="0"/>
        <w:jc w:val="both"/>
        <w:rPr>
          <w:sz w:val="24"/>
        </w:rPr>
      </w:pPr>
      <w:r>
        <w:rPr>
          <w:sz w:val="24"/>
        </w:rPr>
        <w:t>Be a guarantee or bank letter of credit in a form which is acceptable in the reasonable opinion of the Market and System Operator;</w:t>
      </w:r>
    </w:p>
    <w:p>
      <w:pPr>
        <w:pStyle w:val="List"/>
        <w:numPr>
          <w:ilvl w:val="0"/>
          <w:numId w:val="2"/>
        </w:numPr>
        <w:tabs>
          <w:tab w:val="clear" w:pos="720"/>
          <w:tab w:val="left" w:pos="-1440" w:leader="none"/>
        </w:tabs>
        <w:spacing w:before="0" w:after="0"/>
        <w:ind w:hanging="360" w:start="1890" w:end="0"/>
        <w:jc w:val="both"/>
        <w:rPr>
          <w:sz w:val="24"/>
        </w:rPr>
      </w:pPr>
      <w:r>
        <w:rPr>
          <w:sz w:val="24"/>
        </w:rPr>
        <w:t>Be duly executed by the credit support provider and delivered unconditionally to the Market and System Operator;</w:t>
      </w:r>
    </w:p>
    <w:p>
      <w:pPr>
        <w:pStyle w:val="List"/>
        <w:numPr>
          <w:ilvl w:val="0"/>
          <w:numId w:val="2"/>
        </w:numPr>
        <w:tabs>
          <w:tab w:val="clear" w:pos="720"/>
          <w:tab w:val="left" w:pos="-1440" w:leader="none"/>
        </w:tabs>
        <w:spacing w:before="0" w:after="0"/>
        <w:ind w:hanging="360" w:start="1890" w:end="0"/>
        <w:jc w:val="both"/>
        <w:rPr>
          <w:sz w:val="24"/>
        </w:rPr>
      </w:pPr>
      <w:r>
        <w:rPr>
          <w:sz w:val="24"/>
        </w:rPr>
        <w:t>Constitutes valid and binding un-subordinated obligations of the credit support provider to pay to the Market and System Operator amounts in accordance with its terms; and</w:t>
      </w:r>
    </w:p>
    <w:p>
      <w:pPr>
        <w:pStyle w:val="List"/>
        <w:numPr>
          <w:ilvl w:val="0"/>
          <w:numId w:val="2"/>
        </w:numPr>
        <w:tabs>
          <w:tab w:val="clear" w:pos="720"/>
          <w:tab w:val="left" w:pos="-1440" w:leader="none"/>
        </w:tabs>
        <w:spacing w:before="0" w:after="0"/>
        <w:ind w:hanging="360" w:start="1890" w:end="0"/>
        <w:jc w:val="both"/>
        <w:rPr>
          <w:sz w:val="24"/>
        </w:rPr>
      </w:pPr>
      <w:r>
        <w:rPr>
          <w:sz w:val="24"/>
        </w:rPr>
        <w:t>Permits drawings or claims by the Market and System Operator to a stated certain amount.</w:t>
      </w:r>
    </w:p>
    <w:p>
      <w:pPr>
        <w:pStyle w:val="List"/>
        <w:tabs>
          <w:tab w:val="clear" w:pos="720"/>
          <w:tab w:val="left" w:pos="-1440" w:leader="none"/>
        </w:tabs>
        <w:spacing w:before="0" w:after="0"/>
        <w:rPr>
          <w:sz w:val="24"/>
        </w:rPr>
      </w:pPr>
      <w:r>
        <w:rPr>
          <w:sz w:val="24"/>
        </w:rPr>
      </w:r>
    </w:p>
    <w:p>
      <w:pPr>
        <w:pStyle w:val="Normal"/>
        <w:tabs>
          <w:tab w:val="clear" w:pos="720"/>
          <w:tab w:val="left" w:pos="-1440" w:leader="none"/>
        </w:tabs>
        <w:spacing w:before="0" w:after="0"/>
        <w:ind w:start="1170" w:end="0"/>
        <w:rPr>
          <w:sz w:val="24"/>
        </w:rPr>
      </w:pPr>
      <w:r>
        <w:rPr>
          <w:sz w:val="24"/>
        </w:rPr>
        <w:t xml:space="preserve">The maximum credit limit is the reasonable worst case estimate by the Market and System Operator of the aggregate payments for 45 days trading in the pool. This limit will be visited not less than once a year.  </w:t>
      </w:r>
    </w:p>
    <w:sectPr>
      <w:headerReference w:type="default" r:id="rId2"/>
      <w:headerReference w:type="first" r:id="rId3"/>
      <w:footerReference w:type="default" r:id="rId4"/>
      <w:footerReference w:type="first" r:id="rId5"/>
      <w:type w:val="nextPage"/>
      <w:pgSz w:w="12240" w:h="15840"/>
      <w:pgMar w:left="1800" w:right="180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847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jc w:val="center"/>
      <w:rPr>
        <w:b/>
        <w:sz w:val="32"/>
      </w:rPr>
    </w:pP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tabs>
        <w:tab w:val="clear" w:pos="720"/>
        <w:tab w:val="left" w:pos="-1440" w:leader="none"/>
      </w:tabs>
      <w:outlineLvl w:val="3"/>
    </w:pPr>
    <w:rPr>
      <w:b/>
      <w:u w:val="single"/>
    </w:rPr>
  </w:style>
  <w:style w:type="paragraph" w:styleId="Heading5">
    <w:name w:val="heading 5"/>
    <w:basedOn w:val="Normal"/>
    <w:next w:val="Normal"/>
    <w:qFormat/>
    <w:pPr>
      <w:keepNext w:val="true"/>
      <w:numPr>
        <w:ilvl w:val="4"/>
        <w:numId w:val="1"/>
      </w:numPr>
      <w:tabs>
        <w:tab w:val="clear" w:pos="720"/>
        <w:tab w:val="left" w:pos="-1440" w:leader="none"/>
      </w:tabs>
      <w:spacing w:before="0" w:after="0"/>
      <w:ind w:hanging="0" w:start="1170" w:end="0"/>
      <w:outlineLvl w:val="4"/>
    </w:pPr>
    <w:rPr>
      <w:b/>
      <w:u w:val="single"/>
    </w:rPr>
  </w:style>
  <w:style w:type="paragraph" w:styleId="Heading6">
    <w:name w:val="heading 6"/>
    <w:basedOn w:val="Normal"/>
    <w:next w:val="Normal"/>
    <w:qFormat/>
    <w:pPr>
      <w:keepNext w:val="true"/>
      <w:numPr>
        <w:ilvl w:val="5"/>
        <w:numId w:val="1"/>
      </w:numPr>
      <w:tabs>
        <w:tab w:val="clear" w:pos="720"/>
        <w:tab w:val="left" w:pos="-1440" w:leader="none"/>
      </w:tabs>
      <w:outlineLvl w:val="5"/>
    </w:pPr>
    <w:rPr>
      <w:b/>
      <w:sz w:val="22"/>
      <w:u w:val="single"/>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spacing w:before="0" w:after="0"/>
      <w:jc w:val="center"/>
      <w:outlineLvl w:val="7"/>
    </w:pPr>
    <w:rPr>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0z0">
    <w:name w:val="WW8Num10z0"/>
    <w:qFormat/>
    <w:rPr/>
  </w:style>
  <w:style w:type="character" w:styleId="WW8Num13z0">
    <w:name w:val="WW8Num13z0"/>
    <w:qFormat/>
    <w:rPr/>
  </w:style>
  <w:style w:type="character" w:styleId="WW8Num15z0">
    <w:name w:val="WW8Num15z0"/>
    <w:qFormat/>
    <w:rPr/>
  </w:style>
  <w:style w:type="character" w:styleId="WW8NumSt15z0">
    <w:name w:val="WW8NumSt15z0"/>
    <w:qFormat/>
    <w:rPr>
      <w:rFonts w:ascii="Symbol" w:hAnsi="Symbol" w:cs="Symbol"/>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tabs>
        <w:tab w:val="clear" w:pos="720"/>
        <w:tab w:val="left" w:pos="-1440" w:leader="none"/>
      </w:tabs>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Indent">
    <w:name w:val="Body Text Indent"/>
    <w:basedOn w:val="Normal"/>
    <w:pPr>
      <w:spacing w:before="0" w:after="0"/>
    </w:pPr>
    <w:rPr>
      <w:sz w:val="22"/>
    </w:rPr>
  </w:style>
  <w:style w:type="paragraph" w:styleId="BodyTextIndent2">
    <w:name w:val="Body Text Indent 2"/>
    <w:basedOn w:val="Normal"/>
    <w:qFormat/>
    <w:pPr>
      <w:tabs>
        <w:tab w:val="clear" w:pos="720"/>
        <w:tab w:val="left" w:pos="-1440" w:leader="none"/>
      </w:tabs>
      <w:ind w:hanging="0" w:start="1170" w:end="0"/>
      <w:jc w:val="both"/>
    </w:pPr>
    <w:rPr/>
  </w:style>
  <w:style w:type="paragraph" w:styleId="BodyTextIndent3">
    <w:name w:val="Body Text Indent 3"/>
    <w:basedOn w:val="Normal"/>
    <w:qFormat/>
    <w:pPr>
      <w:tabs>
        <w:tab w:val="clear" w:pos="720"/>
        <w:tab w:val="left" w:pos="630" w:leader="none"/>
      </w:tabs>
      <w:spacing w:before="0" w:after="0"/>
      <w:ind w:hanging="0" w:start="630" w:end="0"/>
      <w:jc w:val="both"/>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0" w:after="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International 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2001-07-13T08:39:00Z</dcterms:created>
  <dc:creator>ibrahim</dc:creator>
  <dc:description/>
  <dc:language>en-CA</dc:language>
  <cp:lastModifiedBy>enron</cp:lastModifiedBy>
  <cp:lastPrinted>1998-09-21T17:30:00Z</cp:lastPrinted>
  <dcterms:modified xsi:type="dcterms:W3CDTF">2001-07-13T08:40:00Z</dcterms:modified>
  <cp:revision>3</cp:revision>
  <dc:subject/>
  <dc:title>Enron International Memo</dc:title>
</cp:coreProperties>
</file>